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7" w:type="dxa"/>
        <w:tblInd w:w="-485" w:type="dxa"/>
        <w:tblCellMar>
          <w:top w:w="191" w:type="dxa"/>
          <w:left w:w="485" w:type="dxa"/>
          <w:right w:w="188" w:type="dxa"/>
        </w:tblCellMar>
        <w:tblLook w:val="04A0" w:firstRow="1" w:lastRow="0" w:firstColumn="1" w:lastColumn="0" w:noHBand="0" w:noVBand="1"/>
      </w:tblPr>
      <w:tblGrid>
        <w:gridCol w:w="10177"/>
      </w:tblGrid>
      <w:tr w:rsidR="002E52B2" w14:paraId="532DFFA6" w14:textId="77777777" w:rsidTr="00C945E6">
        <w:trPr>
          <w:trHeight w:val="12227"/>
        </w:trPr>
        <w:tc>
          <w:tcPr>
            <w:tcW w:w="10177" w:type="dxa"/>
            <w:tcBorders>
              <w:top w:val="single" w:sz="4" w:space="0" w:color="000000"/>
              <w:left w:val="single" w:sz="4" w:space="0" w:color="000000"/>
              <w:bottom w:val="single" w:sz="4" w:space="0" w:color="000000"/>
              <w:right w:val="single" w:sz="4" w:space="0" w:color="000000"/>
            </w:tcBorders>
          </w:tcPr>
          <w:p w14:paraId="341868AA" w14:textId="77777777" w:rsidR="002E52B2" w:rsidRDefault="00FC57CB">
            <w:pPr>
              <w:spacing w:after="43"/>
              <w:ind w:right="59"/>
              <w:jc w:val="right"/>
            </w:pPr>
            <w:r>
              <w:rPr>
                <w:rFonts w:ascii="Arial" w:eastAsia="Arial" w:hAnsi="Arial" w:cs="Arial"/>
                <w:b/>
              </w:rPr>
              <w:t xml:space="preserve">APPENDIX J </w:t>
            </w:r>
          </w:p>
          <w:p w14:paraId="27741621" w14:textId="77777777" w:rsidR="002E52B2" w:rsidRDefault="00FC57CB">
            <w:pPr>
              <w:spacing w:after="14"/>
            </w:pPr>
            <w:r>
              <w:rPr>
                <w:rFonts w:ascii="Times New Roman" w:eastAsia="Times New Roman" w:hAnsi="Times New Roman" w:cs="Times New Roman"/>
                <w:sz w:val="24"/>
              </w:rPr>
              <w:t xml:space="preserve"> </w:t>
            </w:r>
          </w:p>
          <w:p w14:paraId="2B81B7B2" w14:textId="77777777" w:rsidR="002E52B2" w:rsidRDefault="00FC57CB">
            <w:pPr>
              <w:ind w:right="221"/>
              <w:jc w:val="center"/>
            </w:pPr>
            <w:r>
              <w:rPr>
                <w:rFonts w:ascii="Arial" w:eastAsia="Arial" w:hAnsi="Arial" w:cs="Arial"/>
                <w:b/>
                <w:sz w:val="28"/>
              </w:rPr>
              <w:t xml:space="preserve"> </w:t>
            </w:r>
          </w:p>
          <w:p w14:paraId="2A70FAFC" w14:textId="77777777" w:rsidR="002E52B2" w:rsidRDefault="00FC57CB">
            <w:pPr>
              <w:ind w:right="221"/>
              <w:jc w:val="center"/>
            </w:pPr>
            <w:r>
              <w:rPr>
                <w:rFonts w:ascii="Arial" w:eastAsia="Arial" w:hAnsi="Arial" w:cs="Arial"/>
                <w:b/>
                <w:sz w:val="28"/>
              </w:rPr>
              <w:t xml:space="preserve"> </w:t>
            </w:r>
          </w:p>
          <w:p w14:paraId="4B596EC9" w14:textId="77777777" w:rsidR="002E52B2" w:rsidRDefault="00FC57CB">
            <w:pPr>
              <w:ind w:right="297"/>
              <w:jc w:val="center"/>
            </w:pPr>
            <w:r>
              <w:rPr>
                <w:rFonts w:ascii="Arial" w:eastAsia="Arial" w:hAnsi="Arial" w:cs="Arial"/>
                <w:b/>
                <w:sz w:val="28"/>
              </w:rPr>
              <w:t xml:space="preserve">NOTE TO APPLICANTS </w:t>
            </w:r>
          </w:p>
          <w:p w14:paraId="40FBFBAC" w14:textId="77777777" w:rsidR="002E52B2" w:rsidRDefault="00FC57CB">
            <w:pPr>
              <w:ind w:right="221"/>
              <w:jc w:val="center"/>
            </w:pPr>
            <w:r>
              <w:rPr>
                <w:rFonts w:ascii="Arial" w:eastAsia="Arial" w:hAnsi="Arial" w:cs="Arial"/>
                <w:b/>
                <w:sz w:val="28"/>
              </w:rPr>
              <w:t xml:space="preserve"> </w:t>
            </w:r>
          </w:p>
          <w:p w14:paraId="1DF2C97B" w14:textId="77777777" w:rsidR="002E52B2" w:rsidRDefault="00FC57CB">
            <w:pPr>
              <w:ind w:right="299"/>
              <w:jc w:val="center"/>
            </w:pPr>
            <w:r>
              <w:rPr>
                <w:rFonts w:ascii="Arial" w:eastAsia="Arial" w:hAnsi="Arial" w:cs="Arial"/>
                <w:b/>
                <w:sz w:val="28"/>
              </w:rPr>
              <w:t xml:space="preserve">DISCLOSURE AND BARRING SERVICE </w:t>
            </w:r>
          </w:p>
          <w:p w14:paraId="06283EEA" w14:textId="77777777" w:rsidR="002E52B2" w:rsidRDefault="00FC57CB">
            <w:r>
              <w:rPr>
                <w:rFonts w:ascii="Arial" w:eastAsia="Arial" w:hAnsi="Arial" w:cs="Arial"/>
                <w:b/>
                <w:sz w:val="24"/>
              </w:rPr>
              <w:t xml:space="preserve"> </w:t>
            </w:r>
          </w:p>
          <w:p w14:paraId="51025892" w14:textId="77777777" w:rsidR="002E52B2" w:rsidRDefault="00FC57CB">
            <w:r>
              <w:rPr>
                <w:rFonts w:ascii="Arial" w:eastAsia="Arial" w:hAnsi="Arial" w:cs="Arial"/>
                <w:b/>
                <w:sz w:val="24"/>
              </w:rPr>
              <w:t xml:space="preserve"> </w:t>
            </w:r>
          </w:p>
          <w:p w14:paraId="620CB067" w14:textId="77777777" w:rsidR="002E52B2" w:rsidRDefault="00FC57CB">
            <w:r>
              <w:rPr>
                <w:rFonts w:ascii="Arial" w:eastAsia="Arial" w:hAnsi="Arial" w:cs="Arial"/>
                <w:b/>
                <w:sz w:val="24"/>
              </w:rPr>
              <w:t xml:space="preserve"> </w:t>
            </w:r>
          </w:p>
          <w:p w14:paraId="1BD857AE" w14:textId="77777777" w:rsidR="002E52B2" w:rsidRDefault="00FC57CB">
            <w:pPr>
              <w:spacing w:line="240" w:lineRule="auto"/>
              <w:ind w:right="293"/>
              <w:jc w:val="both"/>
            </w:pPr>
            <w:r>
              <w:rPr>
                <w:rFonts w:ascii="Arial" w:eastAsia="Arial" w:hAnsi="Arial" w:cs="Arial"/>
                <w:sz w:val="24"/>
              </w:rPr>
              <w:t xml:space="preserve">You will be aware that the post you are applying for involves you working with either children or vulnerable adults. It is therefore a post covered by the Rehabilitation of Offenders (Exceptions) Act 1975 and is a post regulated by the Disclosure and Barring Service. </w:t>
            </w:r>
          </w:p>
          <w:p w14:paraId="55A87624" w14:textId="77777777" w:rsidR="002E52B2" w:rsidRDefault="00FC57CB">
            <w:r>
              <w:rPr>
                <w:rFonts w:ascii="Arial" w:eastAsia="Arial" w:hAnsi="Arial" w:cs="Arial"/>
                <w:sz w:val="24"/>
              </w:rPr>
              <w:t xml:space="preserve"> </w:t>
            </w:r>
          </w:p>
          <w:p w14:paraId="3AC92B4E" w14:textId="77777777" w:rsidR="002E52B2" w:rsidRDefault="00FC57CB">
            <w:pPr>
              <w:spacing w:line="247" w:lineRule="auto"/>
              <w:ind w:right="297"/>
              <w:jc w:val="both"/>
            </w:pPr>
            <w:r>
              <w:rPr>
                <w:rFonts w:ascii="Arial" w:eastAsia="Arial" w:hAnsi="Arial" w:cs="Arial"/>
                <w:sz w:val="24"/>
              </w:rPr>
              <w:t xml:space="preserve">If you are successful, you will be required to apply to the Disclosure and Barring Service for a ‘disclosure’, to confirm any records held, prior to any final appointment decision being made by the School.  (Access to the on-line disclosure application system will be provided to you to enable you to apply at the appropriate time.) </w:t>
            </w:r>
          </w:p>
          <w:p w14:paraId="528F1C36" w14:textId="77777777" w:rsidR="002E52B2" w:rsidRDefault="00FC57CB">
            <w:r>
              <w:rPr>
                <w:rFonts w:ascii="Arial" w:eastAsia="Arial" w:hAnsi="Arial" w:cs="Arial"/>
                <w:sz w:val="24"/>
              </w:rPr>
              <w:t xml:space="preserve"> </w:t>
            </w:r>
          </w:p>
          <w:p w14:paraId="573A2B64" w14:textId="77777777" w:rsidR="002E52B2" w:rsidRDefault="00FC57CB">
            <w:pPr>
              <w:spacing w:line="240" w:lineRule="auto"/>
              <w:jc w:val="both"/>
            </w:pPr>
            <w:r>
              <w:rPr>
                <w:rFonts w:ascii="Arial" w:eastAsia="Arial" w:hAnsi="Arial" w:cs="Arial"/>
                <w:sz w:val="24"/>
              </w:rPr>
              <w:t xml:space="preserve">Once your on-line disclosure application has been completed it will be forwarded to the Disclosure and Barring Service, who will undertake a check which will include: </w:t>
            </w:r>
          </w:p>
          <w:p w14:paraId="6D9F8B1E" w14:textId="77777777" w:rsidR="002E52B2" w:rsidRDefault="00FC57CB">
            <w:pPr>
              <w:spacing w:after="20"/>
            </w:pPr>
            <w:r>
              <w:rPr>
                <w:rFonts w:ascii="Arial" w:eastAsia="Arial" w:hAnsi="Arial" w:cs="Arial"/>
                <w:sz w:val="24"/>
              </w:rPr>
              <w:t xml:space="preserve"> </w:t>
            </w:r>
          </w:p>
          <w:p w14:paraId="1CA8FE67" w14:textId="77777777" w:rsidR="002E52B2" w:rsidRDefault="00FC57CB">
            <w:pPr>
              <w:numPr>
                <w:ilvl w:val="0"/>
                <w:numId w:val="1"/>
              </w:numPr>
              <w:ind w:hanging="566"/>
              <w:jc w:val="both"/>
            </w:pPr>
            <w:r>
              <w:rPr>
                <w:rFonts w:ascii="Arial" w:eastAsia="Arial" w:hAnsi="Arial" w:cs="Arial"/>
                <w:sz w:val="24"/>
              </w:rPr>
              <w:t xml:space="preserve">Details of convictions, including those ‘spent’ under the Act stated above. </w:t>
            </w:r>
          </w:p>
          <w:p w14:paraId="1A347CAD" w14:textId="77777777" w:rsidR="002E52B2" w:rsidRDefault="00FC57CB">
            <w:r>
              <w:rPr>
                <w:rFonts w:ascii="Arial" w:eastAsia="Arial" w:hAnsi="Arial" w:cs="Arial"/>
                <w:sz w:val="24"/>
              </w:rPr>
              <w:t xml:space="preserve"> </w:t>
            </w:r>
          </w:p>
          <w:p w14:paraId="6A9FC8B8" w14:textId="77777777" w:rsidR="002E52B2" w:rsidRDefault="00FC57CB">
            <w:pPr>
              <w:numPr>
                <w:ilvl w:val="0"/>
                <w:numId w:val="1"/>
              </w:numPr>
              <w:spacing w:line="240" w:lineRule="auto"/>
              <w:ind w:hanging="566"/>
              <w:jc w:val="both"/>
            </w:pPr>
            <w:r>
              <w:rPr>
                <w:rFonts w:ascii="Arial" w:eastAsia="Arial" w:hAnsi="Arial" w:cs="Arial"/>
                <w:sz w:val="24"/>
              </w:rPr>
              <w:t xml:space="preserve">Cautions, etc. and (where appropriate) whether you are included on one of the barred lists preventing you from working with children and/or vulnerable adults </w:t>
            </w:r>
          </w:p>
          <w:p w14:paraId="0EE42CD0" w14:textId="77777777" w:rsidR="002E52B2" w:rsidRDefault="00FC57CB">
            <w:pPr>
              <w:ind w:left="720"/>
            </w:pPr>
            <w:r>
              <w:rPr>
                <w:rFonts w:ascii="Arial" w:eastAsia="Arial" w:hAnsi="Arial" w:cs="Arial"/>
                <w:sz w:val="24"/>
              </w:rPr>
              <w:t xml:space="preserve"> </w:t>
            </w:r>
          </w:p>
          <w:p w14:paraId="6297E59A" w14:textId="77777777" w:rsidR="002E52B2" w:rsidRDefault="00FC57CB">
            <w:pPr>
              <w:numPr>
                <w:ilvl w:val="0"/>
                <w:numId w:val="1"/>
              </w:numPr>
              <w:spacing w:line="241" w:lineRule="auto"/>
              <w:ind w:hanging="566"/>
              <w:jc w:val="both"/>
            </w:pPr>
            <w:r>
              <w:rPr>
                <w:rFonts w:ascii="Arial" w:eastAsia="Arial" w:hAnsi="Arial" w:cs="Arial"/>
                <w:sz w:val="24"/>
              </w:rPr>
              <w:t xml:space="preserve">Where appropriate, information taken from police records that a chief officer of a police force considers relevant to the application. </w:t>
            </w:r>
          </w:p>
          <w:p w14:paraId="78502E11" w14:textId="77777777" w:rsidR="002E52B2" w:rsidRDefault="00FC57CB">
            <w:r>
              <w:rPr>
                <w:rFonts w:ascii="Arial" w:eastAsia="Arial" w:hAnsi="Arial" w:cs="Arial"/>
                <w:sz w:val="24"/>
              </w:rPr>
              <w:t xml:space="preserve"> </w:t>
            </w:r>
          </w:p>
          <w:p w14:paraId="37043C4F" w14:textId="77777777" w:rsidR="002E52B2" w:rsidRDefault="00FC57CB">
            <w:pPr>
              <w:spacing w:after="1" w:line="239" w:lineRule="auto"/>
              <w:ind w:left="540" w:right="294" w:hanging="540"/>
              <w:jc w:val="both"/>
            </w:pPr>
            <w:r>
              <w:rPr>
                <w:rFonts w:ascii="Arial" w:eastAsia="Arial" w:hAnsi="Arial" w:cs="Arial"/>
                <w:sz w:val="24"/>
              </w:rPr>
              <w:t xml:space="preserve">NB. A conviction is not necessarily a bar to recruitment, unless the school considers that the conviction renders you unsuitable for appointment.  In making this decision, consideration will be given to the nature of the offence, how long ago it occurred, what </w:t>
            </w:r>
            <w:proofErr w:type="spellStart"/>
            <w:r>
              <w:rPr>
                <w:rFonts w:ascii="Arial" w:eastAsia="Arial" w:hAnsi="Arial" w:cs="Arial"/>
                <w:sz w:val="24"/>
              </w:rPr>
              <w:t>age</w:t>
            </w:r>
            <w:proofErr w:type="spellEnd"/>
            <w:r>
              <w:rPr>
                <w:rFonts w:ascii="Arial" w:eastAsia="Arial" w:hAnsi="Arial" w:cs="Arial"/>
                <w:sz w:val="24"/>
              </w:rPr>
              <w:t xml:space="preserve"> you were when it was committed and any other factors which may be relevant. </w:t>
            </w:r>
          </w:p>
          <w:p w14:paraId="388A7F89" w14:textId="77777777" w:rsidR="002E52B2" w:rsidRDefault="00FC57CB">
            <w:r>
              <w:rPr>
                <w:rFonts w:ascii="Arial" w:eastAsia="Arial" w:hAnsi="Arial" w:cs="Arial"/>
                <w:sz w:val="24"/>
              </w:rPr>
              <w:t xml:space="preserve"> </w:t>
            </w:r>
          </w:p>
          <w:p w14:paraId="344B86A2" w14:textId="77777777" w:rsidR="002E52B2" w:rsidRDefault="00FC57CB">
            <w:pPr>
              <w:spacing w:line="240" w:lineRule="auto"/>
              <w:ind w:right="32"/>
              <w:jc w:val="both"/>
            </w:pPr>
            <w:r>
              <w:rPr>
                <w:rFonts w:ascii="Arial" w:eastAsia="Arial" w:hAnsi="Arial" w:cs="Arial"/>
                <w:sz w:val="24"/>
              </w:rPr>
              <w:t xml:space="preserve">It is an offence for an individual who has been disqualified from working with children to knowingly apply for, offer to do, or accept or do any work in a regulated position.  </w:t>
            </w:r>
          </w:p>
          <w:p w14:paraId="5078C2DA" w14:textId="77777777" w:rsidR="002E52B2" w:rsidRDefault="00FC57CB">
            <w:r>
              <w:rPr>
                <w:rFonts w:ascii="Arial" w:eastAsia="Arial" w:hAnsi="Arial" w:cs="Arial"/>
                <w:sz w:val="24"/>
              </w:rPr>
              <w:t xml:space="preserve"> </w:t>
            </w:r>
          </w:p>
          <w:p w14:paraId="43D80268" w14:textId="77777777" w:rsidR="002E52B2" w:rsidRDefault="00FC57CB">
            <w:pPr>
              <w:spacing w:line="240" w:lineRule="auto"/>
              <w:ind w:right="38"/>
            </w:pPr>
            <w:r>
              <w:rPr>
                <w:rFonts w:ascii="Arial" w:eastAsia="Arial" w:hAnsi="Arial" w:cs="Arial"/>
                <w:sz w:val="24"/>
              </w:rPr>
              <w:t xml:space="preserve">An individual is disqualified from working with children/vulnerable adults if they are included on one of the lists of those barred from working with children and/or vulnerable adults or are disqualified from working with children and vulnerable adults as part of a sentence. </w:t>
            </w:r>
          </w:p>
          <w:p w14:paraId="50E1281F" w14:textId="77777777" w:rsidR="002E52B2" w:rsidRDefault="00FC57CB">
            <w:r>
              <w:rPr>
                <w:rFonts w:ascii="Arial" w:eastAsia="Arial" w:hAnsi="Arial" w:cs="Arial"/>
                <w:sz w:val="24"/>
              </w:rPr>
              <w:t xml:space="preserve">. </w:t>
            </w:r>
          </w:p>
          <w:p w14:paraId="1D7957E7" w14:textId="77777777" w:rsidR="002E52B2" w:rsidRDefault="00FC57CB">
            <w:r>
              <w:rPr>
                <w:rFonts w:ascii="Arial" w:eastAsia="Arial" w:hAnsi="Arial" w:cs="Arial"/>
                <w:sz w:val="12"/>
              </w:rPr>
              <w:t>FINALVERSION_V2_24102024_SCHOOLSHRTEAM</w:t>
            </w:r>
            <w:r>
              <w:rPr>
                <w:rFonts w:ascii="Arial" w:eastAsia="Arial" w:hAnsi="Arial" w:cs="Arial"/>
                <w:sz w:val="24"/>
              </w:rPr>
              <w:t xml:space="preserve"> </w:t>
            </w:r>
          </w:p>
        </w:tc>
      </w:tr>
    </w:tbl>
    <w:p w14:paraId="26B56F21" w14:textId="77777777" w:rsidR="00FC57CB" w:rsidRDefault="00FC57CB" w:rsidP="00FC57CB"/>
    <w:sectPr w:rsidR="00FC57CB">
      <w:pgSz w:w="11906" w:h="16838"/>
      <w:pgMar w:top="955" w:right="1440" w:bottom="2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21C37"/>
    <w:multiLevelType w:val="hybridMultilevel"/>
    <w:tmpl w:val="53D44344"/>
    <w:lvl w:ilvl="0" w:tplc="D276ABA0">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300550">
      <w:start w:val="1"/>
      <w:numFmt w:val="bullet"/>
      <w:lvlText w:val="o"/>
      <w:lvlJc w:val="left"/>
      <w:pPr>
        <w:ind w:left="15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742A86">
      <w:start w:val="1"/>
      <w:numFmt w:val="bullet"/>
      <w:lvlText w:val="▪"/>
      <w:lvlJc w:val="left"/>
      <w:pPr>
        <w:ind w:left="22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DA4E0E">
      <w:start w:val="1"/>
      <w:numFmt w:val="bullet"/>
      <w:lvlText w:val="•"/>
      <w:lvlJc w:val="left"/>
      <w:pPr>
        <w:ind w:left="30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161D48">
      <w:start w:val="1"/>
      <w:numFmt w:val="bullet"/>
      <w:lvlText w:val="o"/>
      <w:lvlJc w:val="left"/>
      <w:pPr>
        <w:ind w:left="3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EA8160">
      <w:start w:val="1"/>
      <w:numFmt w:val="bullet"/>
      <w:lvlText w:val="▪"/>
      <w:lvlJc w:val="left"/>
      <w:pPr>
        <w:ind w:left="4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1078F2">
      <w:start w:val="1"/>
      <w:numFmt w:val="bullet"/>
      <w:lvlText w:val="•"/>
      <w:lvlJc w:val="left"/>
      <w:pPr>
        <w:ind w:left="5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84B5C8">
      <w:start w:val="1"/>
      <w:numFmt w:val="bullet"/>
      <w:lvlText w:val="o"/>
      <w:lvlJc w:val="left"/>
      <w:pPr>
        <w:ind w:left="5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D49120">
      <w:start w:val="1"/>
      <w:numFmt w:val="bullet"/>
      <w:lvlText w:val="▪"/>
      <w:lvlJc w:val="left"/>
      <w:pPr>
        <w:ind w:left="6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73527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B2"/>
    <w:rsid w:val="002E52B2"/>
    <w:rsid w:val="00BF122D"/>
    <w:rsid w:val="00C945E6"/>
    <w:rsid w:val="00E93D15"/>
    <w:rsid w:val="00FC5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25FC"/>
  <w15:docId w15:val="{C9B8198E-DC82-4713-A48B-3297A4EA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sshqbpsq</dc:creator>
  <cp:keywords/>
  <cp:lastModifiedBy>marquise</cp:lastModifiedBy>
  <cp:revision>3</cp:revision>
  <dcterms:created xsi:type="dcterms:W3CDTF">2025-04-01T20:51:00Z</dcterms:created>
  <dcterms:modified xsi:type="dcterms:W3CDTF">2025-04-01T20:55:00Z</dcterms:modified>
</cp:coreProperties>
</file>