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4D2" w14:textId="77777777" w:rsidR="002E48E4" w:rsidRPr="005E32B0" w:rsidRDefault="002E48E4" w:rsidP="002E48E4">
      <w:pPr>
        <w:pStyle w:val="Title"/>
        <w:rPr>
          <w:rFonts w:cs="Arial"/>
          <w:szCs w:val="28"/>
        </w:rPr>
      </w:pPr>
      <w:r>
        <w:rPr>
          <w:noProof/>
        </w:rPr>
        <w:drawing>
          <wp:anchor distT="0" distB="0" distL="114300" distR="114300" simplePos="0" relativeHeight="251659264" behindDoc="1" locked="0" layoutInCell="1" allowOverlap="1" wp14:anchorId="7A22646B" wp14:editId="14734FB4">
            <wp:simplePos x="0" y="0"/>
            <wp:positionH relativeFrom="column">
              <wp:posOffset>2228850</wp:posOffset>
            </wp:positionH>
            <wp:positionV relativeFrom="paragraph">
              <wp:posOffset>228600</wp:posOffset>
            </wp:positionV>
            <wp:extent cx="1225550" cy="1225550"/>
            <wp:effectExtent l="0" t="0" r="0" b="0"/>
            <wp:wrapTopAndBottom/>
            <wp:docPr id="2" name="Picture 2" descr="Heysham St. Peter's Primary School | Hey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ysham St. Peter's Primary School | Heysh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2B0">
        <w:rPr>
          <w:rFonts w:cs="Arial"/>
          <w:szCs w:val="28"/>
        </w:rPr>
        <w:t xml:space="preserve">St Peter’s Church of England Primary School </w:t>
      </w:r>
    </w:p>
    <w:p w14:paraId="285258B8" w14:textId="77777777" w:rsidR="002E48E4" w:rsidRDefault="002E48E4" w:rsidP="002E48E4">
      <w:pPr>
        <w:pStyle w:val="Title"/>
        <w:rPr>
          <w:rFonts w:cs="Arial"/>
          <w:sz w:val="22"/>
          <w:szCs w:val="22"/>
        </w:rPr>
      </w:pPr>
    </w:p>
    <w:p w14:paraId="5C59041B" w14:textId="2A94B946" w:rsidR="00F72E97" w:rsidRPr="00C118D5" w:rsidRDefault="00F72E97" w:rsidP="00F72E97">
      <w:pPr>
        <w:pStyle w:val="Title"/>
        <w:rPr>
          <w:rFonts w:cs="Arial"/>
          <w:sz w:val="22"/>
          <w:szCs w:val="22"/>
        </w:rPr>
      </w:pPr>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9B61A1F" w14:textId="155A2263" w:rsidR="00F72E97" w:rsidRPr="00C118D5" w:rsidRDefault="00F72E97" w:rsidP="00F72E97">
      <w:pPr>
        <w:pStyle w:val="Heading1"/>
        <w:ind w:left="567"/>
        <w:jc w:val="center"/>
        <w:rPr>
          <w:rFonts w:cs="Arial"/>
          <w:b w:val="0"/>
          <w:i/>
          <w:szCs w:val="22"/>
        </w:rPr>
      </w:pPr>
      <w:r w:rsidRPr="00C118D5">
        <w:rPr>
          <w:rFonts w:cs="Arial"/>
          <w:szCs w:val="22"/>
        </w:rPr>
        <w:t>(</w:t>
      </w:r>
      <w:r w:rsidR="002E48E4">
        <w:rPr>
          <w:rFonts w:cs="Arial"/>
          <w:szCs w:val="22"/>
        </w:rPr>
        <w:t>October</w:t>
      </w:r>
      <w:r w:rsidRPr="00C118D5">
        <w:rPr>
          <w:rFonts w:cs="Arial"/>
          <w:szCs w:val="22"/>
        </w:rPr>
        <w:t xml:space="preserve"> 202</w:t>
      </w:r>
      <w:r w:rsidR="00032695">
        <w:rPr>
          <w:rFonts w:cs="Arial"/>
          <w:szCs w:val="22"/>
        </w:rPr>
        <w:t>2</w:t>
      </w:r>
      <w:r w:rsidRPr="00C118D5">
        <w:rPr>
          <w:rFonts w:cs="Arial"/>
          <w:szCs w:val="22"/>
        </w:rPr>
        <w:t>)</w:t>
      </w:r>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6BE16851" w14:textId="20021961" w:rsidR="00BA0BBA" w:rsidRDefault="00BA0BBA" w:rsidP="003E487D">
      <w:pPr>
        <w:numPr>
          <w:ilvl w:val="1"/>
          <w:numId w:val="24"/>
        </w:numPr>
        <w:tabs>
          <w:tab w:val="left" w:pos="720"/>
        </w:tabs>
        <w:ind w:left="720" w:hanging="720"/>
        <w:jc w:val="both"/>
        <w:rPr>
          <w:rFonts w:ascii="Arial" w:hAnsi="Arial" w:cs="Arial"/>
        </w:rPr>
      </w:pPr>
      <w:r w:rsidRPr="002E48E4">
        <w:rPr>
          <w:rFonts w:ascii="Arial" w:hAnsi="Arial" w:cs="Arial"/>
        </w:rPr>
        <w:t xml:space="preserve">This procedure has been adopted by the </w:t>
      </w:r>
      <w:r w:rsidR="00542094" w:rsidRPr="002E48E4">
        <w:rPr>
          <w:rFonts w:ascii="Arial" w:hAnsi="Arial" w:cs="Arial"/>
        </w:rPr>
        <w:t>Governing Board</w:t>
      </w:r>
      <w:r w:rsidRPr="002E48E4">
        <w:rPr>
          <w:rFonts w:ascii="Arial" w:hAnsi="Arial" w:cs="Arial"/>
        </w:rPr>
        <w:t xml:space="preserve"> and applies to all staff employed</w:t>
      </w:r>
      <w:r w:rsidR="002E48E4" w:rsidRPr="002E48E4">
        <w:rPr>
          <w:rFonts w:ascii="Arial" w:hAnsi="Arial" w:cs="Arial"/>
        </w:rPr>
        <w:t xml:space="preserve"> in St Peter’s Church of England Primary School, Heysham.</w:t>
      </w:r>
    </w:p>
    <w:p w14:paraId="0B9461C1" w14:textId="77777777" w:rsidR="002E48E4" w:rsidRPr="002E48E4" w:rsidRDefault="002E48E4" w:rsidP="002E48E4">
      <w:pPr>
        <w:tabs>
          <w:tab w:val="left" w:pos="720"/>
        </w:tabs>
        <w:ind w:left="720"/>
        <w:jc w:val="both"/>
        <w:rPr>
          <w:rFonts w:ascii="Arial" w:hAnsi="Arial" w:cs="Arial"/>
        </w:rPr>
      </w:pPr>
    </w:p>
    <w:p w14:paraId="416BCCAF" w14:textId="27025529"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w:t>
      </w:r>
      <w:r w:rsidR="002E48E4" w:rsidRPr="00C513C8">
        <w:rPr>
          <w:rFonts w:ascii="Arial" w:hAnsi="Arial" w:cs="Arial"/>
          <w:szCs w:val="22"/>
        </w:rPr>
        <w:t>day-to-day</w:t>
      </w:r>
      <w:r w:rsidR="00BA0BBA" w:rsidRPr="00C513C8">
        <w:rPr>
          <w:rFonts w:ascii="Arial" w:hAnsi="Arial" w:cs="Arial"/>
          <w:szCs w:val="22"/>
        </w:rPr>
        <w:t xml:space="preserve">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2B7372FD"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002E48E4">
        <w:rPr>
          <w:rFonts w:ascii="Arial" w:hAnsi="Arial" w:cs="Arial"/>
          <w:b/>
          <w:szCs w:val="22"/>
        </w:rPr>
        <w:t xml:space="preserve">At St Peter’s, </w:t>
      </w:r>
      <w:r w:rsidRPr="00CC0445">
        <w:rPr>
          <w:rFonts w:ascii="Arial" w:hAnsi="Arial" w:cs="Arial"/>
          <w:b/>
          <w:szCs w:val="22"/>
        </w:rPr>
        <w:t>the responsibility for dismissal decisions rests with the Headteacher</w:t>
      </w:r>
      <w:r w:rsidR="002E48E4">
        <w:rPr>
          <w:rFonts w:ascii="Arial" w:hAnsi="Arial" w:cs="Arial"/>
          <w:b/>
          <w:szCs w:val="22"/>
        </w:rPr>
        <w:t xml:space="preserve"> and/or </w:t>
      </w:r>
      <w:r w:rsidRPr="00CC0445">
        <w:rPr>
          <w:rFonts w:ascii="Arial" w:hAnsi="Arial" w:cs="Arial"/>
          <w:b/>
          <w:szCs w:val="22"/>
        </w:rPr>
        <w:t xml:space="preserve">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2ACFDC25"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 xml:space="preserve">is procedure can be considered regardless of whether the employee provides a </w:t>
      </w:r>
      <w:r w:rsidR="00B31B48">
        <w:rPr>
          <w:rFonts w:ascii="Arial" w:hAnsi="Arial" w:cs="Arial"/>
        </w:rPr>
        <w:t>fit note</w:t>
      </w:r>
      <w:r>
        <w:rPr>
          <w:rFonts w:ascii="Arial" w:hAnsi="Arial" w:cs="Arial"/>
        </w:rPr>
        <w:t xml:space="preserv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t>
      </w:r>
      <w:proofErr w:type="gramStart"/>
      <w:r w:rsidR="00B13384">
        <w:rPr>
          <w:rFonts w:ascii="Arial" w:hAnsi="Arial"/>
        </w:rPr>
        <w:t>work related</w:t>
      </w:r>
      <w:proofErr w:type="gramEnd"/>
      <w:r w:rsidR="00B13384">
        <w:rPr>
          <w:rFonts w:ascii="Arial" w:hAnsi="Arial"/>
        </w:rPr>
        <w:t xml:space="preserve">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frequency and pattern of </w:t>
      </w:r>
      <w:proofErr w:type="gramStart"/>
      <w:r>
        <w:rPr>
          <w:rFonts w:ascii="Arial" w:hAnsi="Arial"/>
        </w:rPr>
        <w:t>absence;</w:t>
      </w:r>
      <w:proofErr w:type="gramEnd"/>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overall absence </w:t>
      </w:r>
      <w:proofErr w:type="gramStart"/>
      <w:r>
        <w:rPr>
          <w:rFonts w:ascii="Arial" w:hAnsi="Arial"/>
        </w:rPr>
        <w:t>record;</w:t>
      </w:r>
      <w:proofErr w:type="gramEnd"/>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operational needs of the </w:t>
      </w:r>
      <w:proofErr w:type="gramStart"/>
      <w:r>
        <w:rPr>
          <w:rFonts w:ascii="Arial" w:hAnsi="Arial"/>
        </w:rPr>
        <w:t>school;</w:t>
      </w:r>
      <w:proofErr w:type="gramEnd"/>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lastRenderedPageBreak/>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proofErr w:type="gramStart"/>
      <w:r w:rsidR="00B13384">
        <w:rPr>
          <w:rFonts w:ascii="Arial" w:hAnsi="Arial"/>
        </w:rPr>
        <w:t>are able to</w:t>
      </w:r>
      <w:proofErr w:type="gramEnd"/>
      <w:r w:rsidR="00B13384">
        <w:rPr>
          <w:rFonts w:ascii="Arial" w:hAnsi="Arial"/>
        </w:rPr>
        <w:t xml:space="preserve">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w:t>
      </w:r>
      <w:proofErr w:type="gramStart"/>
      <w:r w:rsidR="00B13384">
        <w:rPr>
          <w:rFonts w:ascii="Arial" w:hAnsi="Arial"/>
        </w:rPr>
        <w:t>final outcome</w:t>
      </w:r>
      <w:proofErr w:type="gramEnd"/>
      <w:r w:rsidR="00B13384">
        <w:rPr>
          <w:rFonts w:ascii="Arial" w:hAnsi="Arial"/>
        </w:rPr>
        <w:t xml:space="preserv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lastRenderedPageBreak/>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w:t>
      </w:r>
      <w:proofErr w:type="gramStart"/>
      <w:r w:rsidR="00321802" w:rsidRPr="00D57B8E">
        <w:rPr>
          <w:rFonts w:ascii="Arial" w:eastAsia="Calibri" w:hAnsi="Arial" w:cs="Arial"/>
          <w:szCs w:val="22"/>
          <w:lang w:eastAsia="en-US"/>
        </w:rPr>
        <w:t>collected</w:t>
      </w:r>
      <w:proofErr w:type="gramEnd"/>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1E9772E5" w:rsidR="007332F5" w:rsidRPr="000342B9" w:rsidRDefault="003874C7" w:rsidP="000342B9">
      <w:pPr>
        <w:ind w:left="720"/>
        <w:jc w:val="both"/>
        <w:rPr>
          <w:rFonts w:ascii="Arial" w:hAnsi="Arial"/>
          <w:b/>
          <w:i/>
        </w:rPr>
      </w:pPr>
      <w:r w:rsidRPr="000342B9">
        <w:rPr>
          <w:rFonts w:ascii="Arial" w:hAnsi="Arial"/>
          <w:b/>
          <w:i/>
        </w:rPr>
        <w:t>NOTE:</w:t>
      </w:r>
      <w:r w:rsidR="002E48E4" w:rsidRPr="000342B9">
        <w:rPr>
          <w:rFonts w:ascii="Arial" w:hAnsi="Arial"/>
          <w:b/>
          <w:i/>
        </w:rPr>
        <w:tab/>
      </w:r>
      <w:r w:rsidR="002E48E4">
        <w:rPr>
          <w:rFonts w:ascii="Arial" w:hAnsi="Arial"/>
          <w:b/>
          <w:i/>
        </w:rPr>
        <w:t xml:space="preserve"> This</w:t>
      </w:r>
      <w:r w:rsidR="000342B9" w:rsidRPr="000342B9">
        <w:rPr>
          <w:rFonts w:ascii="Arial" w:hAnsi="Arial"/>
          <w:b/>
          <w:i/>
        </w:rPr>
        <w:t xml:space="preserve">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5BEA797E"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w:t>
      </w:r>
      <w:r w:rsidR="002E48E4">
        <w:rPr>
          <w:rFonts w:ascii="Arial" w:hAnsi="Arial"/>
        </w:rPr>
        <w:t>twelve-month</w:t>
      </w:r>
      <w:r w:rsidR="006D14E8">
        <w:rPr>
          <w:rFonts w:ascii="Arial" w:hAnsi="Arial"/>
        </w:rPr>
        <w:t xml:space="preserve">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 xml:space="preserve">informed of the level/frequency of absence and the effects on the operation of the school and on other </w:t>
      </w:r>
      <w:proofErr w:type="gramStart"/>
      <w:r>
        <w:rPr>
          <w:rFonts w:ascii="Arial" w:hAnsi="Arial"/>
        </w:rPr>
        <w:t>employees;</w:t>
      </w:r>
      <w:proofErr w:type="gramEnd"/>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lastRenderedPageBreak/>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lastRenderedPageBreak/>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proofErr w:type="gramStart"/>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erm</w:t>
      </w:r>
      <w:proofErr w:type="gramEnd"/>
      <w:r w:rsidR="00A065E0">
        <w:rPr>
          <w:rFonts w:ascii="Arial" w:hAnsi="Arial"/>
        </w:rPr>
        <w:t xml:space="preserve">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w:t>
      </w:r>
      <w:r w:rsidR="007332F5" w:rsidRPr="00C91819">
        <w:rPr>
          <w:rFonts w:ascii="Arial" w:hAnsi="Arial"/>
        </w:rPr>
        <w:lastRenderedPageBreak/>
        <w:t xml:space="preserve">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proofErr w:type="gramStart"/>
      <w:r w:rsidR="00543714">
        <w:rPr>
          <w:rFonts w:ascii="Arial" w:hAnsi="Arial"/>
        </w:rPr>
        <w:t>as a result of</w:t>
      </w:r>
      <w:proofErr w:type="gramEnd"/>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proofErr w:type="gramStart"/>
            <w:r w:rsidR="00B400A8">
              <w:rPr>
                <w:rFonts w:ascii="Arial" w:hAnsi="Arial" w:cs="Arial"/>
                <w:sz w:val="20"/>
              </w:rPr>
              <w:t>…..</w:t>
            </w:r>
            <w:proofErr w:type="gramEnd"/>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roofErr w:type="gramStart"/>
            <w:r w:rsidRPr="00B400A8">
              <w:rPr>
                <w:rFonts w:ascii="Arial" w:hAnsi="Arial" w:cs="Arial"/>
                <w:sz w:val="20"/>
              </w:rPr>
              <w:t>…..</w:t>
            </w:r>
            <w:proofErr w:type="gramEnd"/>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proofErr w:type="gramStart"/>
      <w:r w:rsidR="004112DE" w:rsidRPr="00B400A8">
        <w:rPr>
          <w:rFonts w:ascii="Arial" w:hAnsi="Arial" w:cs="Arial"/>
          <w:sz w:val="20"/>
        </w:rPr>
        <w:t xml:space="preserve">)  </w:t>
      </w:r>
      <w:r w:rsidR="00BB0869" w:rsidRPr="00B400A8">
        <w:rPr>
          <w:rFonts w:ascii="Arial" w:hAnsi="Arial" w:cs="Arial"/>
          <w:sz w:val="20"/>
        </w:rPr>
        <w:tab/>
      </w:r>
      <w:proofErr w:type="gramEnd"/>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proofErr w:type="gramStart"/>
      <w:r w:rsidR="004112DE" w:rsidRPr="00B400A8">
        <w:rPr>
          <w:rFonts w:ascii="Arial" w:hAnsi="Arial" w:cs="Arial"/>
          <w:sz w:val="20"/>
        </w:rPr>
        <w:t xml:space="preserve">Employee)   </w:t>
      </w:r>
      <w:proofErr w:type="gramEnd"/>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 xml:space="preserve">if there is no acceptable explanation, issue the employee with the appropriate warning under this procedure and inform them that the level of attendance is </w:t>
      </w:r>
      <w:proofErr w:type="gramStart"/>
      <w:r w:rsidR="00D0077D" w:rsidRPr="00195608">
        <w:rPr>
          <w:rFonts w:ascii="Arial" w:hAnsi="Arial"/>
          <w:sz w:val="20"/>
        </w:rPr>
        <w:t>unacceptable</w:t>
      </w:r>
      <w:proofErr w:type="gramEnd"/>
      <w:r w:rsidR="00D0077D" w:rsidRPr="00195608">
        <w:rPr>
          <w:rFonts w:ascii="Arial" w:hAnsi="Arial"/>
          <w:sz w:val="20"/>
        </w:rPr>
        <w:t xml:space="preserv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w:t>
      </w:r>
      <w:proofErr w:type="gramStart"/>
      <w:r>
        <w:rPr>
          <w:rFonts w:ascii="Arial" w:hAnsi="Arial"/>
        </w:rPr>
        <w:t>Services</w:t>
      </w:r>
      <w:proofErr w:type="gramEnd"/>
      <w:r>
        <w:rPr>
          <w:rFonts w:ascii="Arial" w:hAnsi="Arial"/>
        </w:rPr>
        <w:t xml:space="preserve">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power to adjourn meetings convened under these </w:t>
      </w:r>
      <w:proofErr w:type="gramStart"/>
      <w:r>
        <w:rPr>
          <w:rFonts w:ascii="Arial" w:hAnsi="Arial"/>
        </w:rPr>
        <w:t>procedures</w:t>
      </w:r>
      <w:proofErr w:type="gramEnd"/>
      <w:r>
        <w:rPr>
          <w:rFonts w:ascii="Arial" w:hAnsi="Arial"/>
        </w:rPr>
        <w:t xml:space="preserve">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15AB7E3E"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2E48E4">
        <w:rPr>
          <w:rFonts w:ascii="Arial" w:hAnsi="Arial"/>
        </w:rPr>
        <w:t>long-term</w:t>
      </w:r>
      <w:r>
        <w:rPr>
          <w:rFonts w:ascii="Arial" w:hAnsi="Arial"/>
        </w:rPr>
        <w:t xml:space="preserve">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 xml:space="preserve">the absence record of the employee over the relevant period (depending upon the nature of the absences) with any patterns/frequencies highlighted which </w:t>
      </w:r>
      <w:proofErr w:type="gramStart"/>
      <w:r>
        <w:rPr>
          <w:rFonts w:ascii="Arial" w:hAnsi="Arial"/>
        </w:rPr>
        <w:t>are considered to be</w:t>
      </w:r>
      <w:proofErr w:type="gramEnd"/>
      <w:r>
        <w:rPr>
          <w:rFonts w:ascii="Arial" w:hAnsi="Arial"/>
        </w:rPr>
        <w:t xml:space="preserv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t>
      </w:r>
      <w:proofErr w:type="gramStart"/>
      <w:r>
        <w:rPr>
          <w:rFonts w:ascii="Arial" w:hAnsi="Arial"/>
        </w:rPr>
        <w:t>withdraw</w:t>
      </w:r>
      <w:proofErr w:type="gramEnd"/>
      <w:r>
        <w:rPr>
          <w:rFonts w:ascii="Arial" w:hAnsi="Arial"/>
        </w:rPr>
        <w:t xml:space="preserve"> and the Committee will reach a decision in private.  Advice given by the Director Children’s Services/Diocesan Officer or their representatives must be considered by the Committee.  Should any parties need to be recalled </w:t>
      </w:r>
      <w:proofErr w:type="gramStart"/>
      <w:r>
        <w:rPr>
          <w:rFonts w:ascii="Arial" w:hAnsi="Arial"/>
        </w:rPr>
        <w:t>to clarify</w:t>
      </w:r>
      <w:proofErr w:type="gramEnd"/>
      <w:r>
        <w:rPr>
          <w:rFonts w:ascii="Arial" w:hAnsi="Arial"/>
        </w:rPr>
        <w:t xml:space="preserve">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proofErr w:type="gramStart"/>
      <w:r w:rsidRPr="002C35FB">
        <w:rPr>
          <w:rFonts w:ascii="Arial" w:hAnsi="Arial" w:cs="Arial"/>
          <w:sz w:val="22"/>
          <w:szCs w:val="22"/>
        </w:rPr>
        <w:t>In the event that</w:t>
      </w:r>
      <w:proofErr w:type="gramEnd"/>
      <w:r w:rsidRPr="002C35FB">
        <w:rPr>
          <w:rFonts w:ascii="Arial" w:hAnsi="Arial" w:cs="Arial"/>
          <w:sz w:val="22"/>
          <w:szCs w:val="22"/>
        </w:rPr>
        <w:t xml:space="preserve">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0" w:name="_Hlk78537827"/>
      <w:r w:rsidR="00EF44FA" w:rsidRPr="002B5B48">
        <w:rPr>
          <w:rFonts w:ascii="Arial" w:hAnsi="Arial" w:cs="Arial"/>
          <w:szCs w:val="22"/>
        </w:rPr>
        <w:t xml:space="preserve">In the event that any subsequent appeal reverses the decision, the termination of employment will be </w:t>
      </w:r>
      <w:proofErr w:type="gramStart"/>
      <w:r w:rsidR="00EF44FA" w:rsidRPr="002B5B48">
        <w:rPr>
          <w:rFonts w:ascii="Arial" w:hAnsi="Arial" w:cs="Arial"/>
          <w:szCs w:val="22"/>
        </w:rPr>
        <w:t>rescinded</w:t>
      </w:r>
      <w:proofErr w:type="gramEnd"/>
      <w:r w:rsidR="00EF44FA" w:rsidRPr="002B5B48">
        <w:rPr>
          <w:rFonts w:ascii="Arial" w:hAnsi="Arial" w:cs="Arial"/>
          <w:szCs w:val="22"/>
        </w:rPr>
        <w:t xml:space="preserve"> and any arrears of salary will be reinstated accordingly.</w:t>
      </w:r>
      <w:bookmarkEnd w:id="0"/>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w:t>
      </w:r>
      <w:proofErr w:type="gramStart"/>
      <w:r w:rsidR="007332F5" w:rsidRPr="00C91819">
        <w:rPr>
          <w:rFonts w:ascii="Arial" w:hAnsi="Arial"/>
        </w:rPr>
        <w:t>final</w:t>
      </w:r>
      <w:proofErr w:type="gramEnd"/>
      <w:r w:rsidR="007332F5" w:rsidRPr="00C91819">
        <w:rPr>
          <w:rFonts w:ascii="Arial" w:hAnsi="Arial"/>
        </w:rPr>
        <w:t xml:space="preserve">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8"/>
      <w:headerReference w:type="first" r:id="rId9"/>
      <w:footerReference w:type="first" r:id="rId10"/>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9929" w14:textId="77777777" w:rsidR="00B30B5F" w:rsidRDefault="00B30B5F">
      <w:r>
        <w:separator/>
      </w:r>
    </w:p>
  </w:endnote>
  <w:endnote w:type="continuationSeparator" w:id="0">
    <w:p w14:paraId="026B21CC" w14:textId="77777777" w:rsidR="00B30B5F" w:rsidRDefault="00B3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837"/>
      <w:docPartObj>
        <w:docPartGallery w:val="Page Numbers (Bottom of Page)"/>
        <w:docPartUnique/>
      </w:docPartObj>
    </w:sdtPr>
    <w:sdtEndPr>
      <w:rPr>
        <w:noProof/>
      </w:rPr>
    </w:sdtEndPr>
    <w:sdtContent>
      <w:p w14:paraId="46B2EEB0" w14:textId="795833DC" w:rsidR="00525265" w:rsidRDefault="0052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45112" w14:textId="329D4136"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B31B48">
      <w:rPr>
        <w:rFonts w:ascii="Arial" w:hAnsi="Arial" w:cs="Arial"/>
        <w:sz w:val="12"/>
        <w:szCs w:val="12"/>
      </w:rPr>
      <w:t>5</w:t>
    </w:r>
    <w:r w:rsidRPr="004739C4">
      <w:rPr>
        <w:rFonts w:ascii="Arial" w:hAnsi="Arial" w:cs="Arial"/>
        <w:sz w:val="12"/>
        <w:szCs w:val="12"/>
      </w:rPr>
      <w:t>.0_</w:t>
    </w:r>
    <w:r>
      <w:rPr>
        <w:rFonts w:ascii="Arial" w:hAnsi="Arial" w:cs="Arial"/>
        <w:sz w:val="12"/>
        <w:szCs w:val="12"/>
      </w:rPr>
      <w:t>2</w:t>
    </w:r>
    <w:r w:rsidR="00B31B48">
      <w:rPr>
        <w:rFonts w:ascii="Arial" w:hAnsi="Arial" w:cs="Arial"/>
        <w:sz w:val="12"/>
        <w:szCs w:val="12"/>
      </w:rPr>
      <w:t>6</w:t>
    </w:r>
    <w:r>
      <w:rPr>
        <w:rFonts w:ascii="Arial" w:hAnsi="Arial" w:cs="Arial"/>
        <w:sz w:val="12"/>
        <w:szCs w:val="12"/>
      </w:rPr>
      <w:t>07202</w:t>
    </w:r>
    <w:r w:rsidR="00B31B48">
      <w:rPr>
        <w:rFonts w:ascii="Arial" w:hAnsi="Arial" w:cs="Arial"/>
        <w:sz w:val="12"/>
        <w:szCs w:val="12"/>
      </w:rPr>
      <w:t>2</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1A6B" w14:textId="77777777" w:rsidR="00B30B5F" w:rsidRDefault="00B30B5F">
      <w:r>
        <w:separator/>
      </w:r>
    </w:p>
  </w:footnote>
  <w:footnote w:type="continuationSeparator" w:id="0">
    <w:p w14:paraId="5F311942" w14:textId="77777777" w:rsidR="00B30B5F" w:rsidRDefault="00B3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5"/>
    <w:rsid w:val="00005950"/>
    <w:rsid w:val="000126F1"/>
    <w:rsid w:val="00012CC2"/>
    <w:rsid w:val="00016906"/>
    <w:rsid w:val="0002219D"/>
    <w:rsid w:val="00032695"/>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D50D6"/>
    <w:rsid w:val="001E0F4A"/>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35FB"/>
    <w:rsid w:val="002C389C"/>
    <w:rsid w:val="002D0C57"/>
    <w:rsid w:val="002E1633"/>
    <w:rsid w:val="002E48E4"/>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34EC"/>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30B5F"/>
    <w:rsid w:val="00B31B48"/>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2935"/>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6385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Caunce, Karen</cp:lastModifiedBy>
  <cp:revision>2</cp:revision>
  <cp:lastPrinted>2011-04-26T12:10:00Z</cp:lastPrinted>
  <dcterms:created xsi:type="dcterms:W3CDTF">2023-01-10T16:03:00Z</dcterms:created>
  <dcterms:modified xsi:type="dcterms:W3CDTF">2023-01-10T16:03:00Z</dcterms:modified>
</cp:coreProperties>
</file>