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Subtitle"/>
        <w:ind w:left="0" w:right="0"/>
        <w:rPr>
          <w:rFonts w:ascii="Cambria" w:hAnsi="Cambria"/>
          <w:b/>
          <w:sz w:val="18"/>
          <w:szCs w:val="18"/>
        </w:rPr>
      </w:pPr>
    </w:p>
    <w:p>
      <w:pPr>
        <w:pStyle w:val="Subtitle"/>
        <w:ind w:left="0" w:right="0"/>
        <w:jc w:val="center"/>
        <w:rPr>
          <w:rFonts w:ascii="Cambria" w:hAnsi="Cambria"/>
          <w:sz w:val="40"/>
          <w:szCs w:val="40"/>
        </w:rPr>
      </w:pPr>
    </w:p>
    <w:p>
      <w:pPr>
        <w:pStyle w:val="Subtitle"/>
        <w:ind w:left="0" w:right="0"/>
        <w:jc w:val="center"/>
        <w:rPr>
          <w:rFonts w:ascii="Cambria" w:hAnsi="Cambria"/>
          <w:sz w:val="40"/>
          <w:szCs w:val="40"/>
        </w:rPr>
      </w:pPr>
    </w:p>
    <w:p>
      <w:pPr>
        <w:pStyle w:val="Heading1"/>
      </w:pP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1905</wp:posOffset>
                </wp:positionH>
                <wp:positionV relativeFrom="paragraph">
                  <wp:posOffset>8255</wp:posOffset>
                </wp:positionV>
                <wp:extent cx="6140450" cy="2295525"/>
                <wp:effectExtent l="0" t="0" r="12700"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0" cy="2295525"/>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pPr>
                              <w:jc w:val="center"/>
                              <w:rPr>
                                <w:rFonts w:cs="Arial"/>
                                <w:b/>
                                <w:sz w:val="44"/>
                              </w:rPr>
                            </w:pPr>
                            <w:r>
                              <w:rPr>
                                <w:rFonts w:cs="Arial"/>
                                <w:b/>
                                <w:sz w:val="44"/>
                              </w:rPr>
                              <w:t>Let Your Light Shine</w:t>
                            </w:r>
                          </w:p>
                          <w:p>
                            <w:pPr>
                              <w:jc w:val="right"/>
                              <w:rPr>
                                <w:rFonts w:cs="Arial"/>
                              </w:rPr>
                            </w:pPr>
                            <w:r>
                              <w:rPr>
                                <w:rFonts w:cs="Arial"/>
                              </w:rPr>
                              <w:t xml:space="preserve">                                                        If we love others, we live in the light.  1 John 2:10</w:t>
                            </w:r>
                          </w:p>
                          <w:p>
                            <w:pPr>
                              <w:jc w:val="right"/>
                              <w:rPr>
                                <w:rFonts w:cs="Arial"/>
                                <w:sz w:val="2"/>
                              </w:rPr>
                            </w:pPr>
                          </w:p>
                          <w:p>
                            <w:pPr>
                              <w:rPr>
                                <w:rFonts w:cs="Arial"/>
                                <w:sz w:val="22"/>
                                <w:szCs w:val="22"/>
                              </w:rPr>
                            </w:pPr>
                            <w:r>
                              <w:rPr>
                                <w:rFonts w:cs="Arial"/>
                                <w:sz w:val="22"/>
                                <w:szCs w:val="22"/>
                              </w:rPr>
                              <w:t>Inspired by our Gospel Values we have a shared responsibility to:</w:t>
                            </w:r>
                          </w:p>
                          <w:p>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create an environment of welcome, love and respect for each member of our learning family. </w:t>
                            </w:r>
                          </w:p>
                          <w:p>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develop the unique gifts and talents of all, striving for excellence in everything we do.   </w:t>
                            </w:r>
                          </w:p>
                          <w:p>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live out our commitment to love, service and justice in the local and global community.</w:t>
                            </w:r>
                          </w:p>
                          <w:p>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nurture the journey of faith and discovery for all.</w:t>
                            </w:r>
                          </w:p>
                          <w:p>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celebrate and reflect on the love of God which is at the heart of all we are.</w:t>
                            </w:r>
                          </w:p>
                          <w:p>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5pt;margin-top:.65pt;width:483.5pt;height:18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V1WgIAAPAEAAAOAAAAZHJzL2Uyb0RvYy54bWysVF1v0zAUfUfiP1h+Z2mitmPR0mnaACEN&#10;mDb4Aa4/GjPH19hu0/LruXbS0MGeEC+WnXvPuffcj1xe7TtDdtIHDbah5dmMEmk5CG03Df329f2b&#10;t5SEyKxgBqxs6EEGerV6/eqyd7WsoAUjpCdIYkPdu4a2Mbq6KAJvZcfCGThp0ajAdyzi028K4VmP&#10;7J0pqtlsWfTghfPAZQj49XYw0lXmV0ry+EWpICMxDcXcYj59PtfpLFaXrN545lrNxzTYP2TRMW0x&#10;6ER1yyIjW6//ouo09xBAxTMOXQFKaS6zBlRTzv5Q89gyJ7MWLE5wU5nC/6Pln3f3nmiBvaPEsg5b&#10;dL2NkCOTKpWnd6FGr0d375PA4O6APwVi4aZldiOvvYe+lUxgUmXyL54B0iMglKz7TyCQnSF7rtRe&#10;+S4RYg3IPjfkMDVE7iPh+HFZzmfzBfaNo62qLhaLapFjsPoIdz7EDxI6ki4N9bC14gHbnmOw3V2I&#10;uS1iFMfEd0pUZ7DJO2ZIuVwuz0fG0blg9ZEzIY1NZxL4zoo8LZFpM9zRNZmz4iRyKFaIByMH6INU&#10;WFsUUuV08lTLG+MJxsZScC5tHIqWmNA7wZQ2ZgKWLwHNBBp9E0zmaZ+As5eAzyNOiBwVbJzAnbbg&#10;XyIQT8d01eB/VD9oTt2O+/V+HJs1iAO23sOwdvibwEsL/iclPa5cQ8OPLfOSEvPR4vhclPN52tH8&#10;mC/OK3z4U8v61MIsR6qGRkqG600c9nrrvN60GGmonYU00ErH42wOWY2J41rh7dnenr6z1+8f1eoX&#10;AAAA//8DAFBLAwQUAAYACAAAACEAveUCwtoAAAAGAQAADwAAAGRycy9kb3ducmV2LnhtbEyOwW7C&#10;MBBE75X6D9ZW6q04pVJKQxxEQXDgRtIPcOIlCcTrKHYg/H23J3ra3ZnR7EtXk+3EFQffOlLwPotA&#10;IFXOtFQr+Cl2bwsQPmgyunOECu7oYZU9P6U6Me5GR7zmoRZcQj7RCpoQ+kRKXzVotZ+5Hom9kxus&#10;DnwOtTSDvnG57eQ8imJpdUv8odE9bhqsLvloFXzvj+so35RFtT2cx2JP2wIvZ6VeX6b1EkTAKTzC&#10;8IfP6JAxU+lGMl50Cj44xyoPNr/iT15KVuP5AmSWyv/42S8AAAD//wMAUEsBAi0AFAAGAAgAAAAh&#10;ALaDOJL+AAAA4QEAABMAAAAAAAAAAAAAAAAAAAAAAFtDb250ZW50X1R5cGVzXS54bWxQSwECLQAU&#10;AAYACAAAACEAOP0h/9YAAACUAQAACwAAAAAAAAAAAAAAAAAvAQAAX3JlbHMvLnJlbHNQSwECLQAU&#10;AAYACAAAACEANjWFdVoCAADwBAAADgAAAAAAAAAAAAAAAAAuAgAAZHJzL2Uyb0RvYy54bWxQSwEC&#10;LQAUAAYACAAAACEAveUCwtoAAAAGAQAADwAAAAAAAAAAAAAAAAC0BAAAZHJzL2Rvd25yZXYueG1s&#10;UEsFBgAAAAAEAAQA8wAAALsFAAAAAA==&#10;" fillcolor="white [3201]" strokecolor="#1cade4 [3204]" strokeweight="1pt">
                <v:stroke joinstyle="miter"/>
                <v:textbox>
                  <w:txbxContent>
                    <w:p w:rsidR="00A871D0" w:rsidRDefault="00F83B9E">
                      <w:pPr>
                        <w:jc w:val="center"/>
                        <w:rPr>
                          <w:rFonts w:cs="Arial"/>
                          <w:b/>
                          <w:sz w:val="44"/>
                        </w:rPr>
                      </w:pPr>
                      <w:r>
                        <w:rPr>
                          <w:rFonts w:cs="Arial"/>
                          <w:b/>
                          <w:sz w:val="44"/>
                        </w:rPr>
                        <w:t>Let Your Light Shine</w:t>
                      </w:r>
                    </w:p>
                    <w:p w:rsidR="00A871D0" w:rsidRDefault="00F83B9E">
                      <w:pPr>
                        <w:jc w:val="right"/>
                        <w:rPr>
                          <w:rFonts w:cs="Arial"/>
                        </w:rPr>
                      </w:pPr>
                      <w:r>
                        <w:rPr>
                          <w:rFonts w:cs="Arial"/>
                        </w:rPr>
                        <w:t xml:space="preserve">                                                        If we love others, we live in the light.  1 John 2:10</w:t>
                      </w:r>
                    </w:p>
                    <w:p w:rsidR="00A871D0" w:rsidRDefault="00A871D0">
                      <w:pPr>
                        <w:jc w:val="right"/>
                        <w:rPr>
                          <w:rFonts w:cs="Arial"/>
                          <w:sz w:val="2"/>
                        </w:rPr>
                      </w:pPr>
                    </w:p>
                    <w:p w:rsidR="00A871D0" w:rsidRDefault="00F83B9E">
                      <w:pPr>
                        <w:rPr>
                          <w:rFonts w:cs="Arial"/>
                          <w:sz w:val="22"/>
                          <w:szCs w:val="22"/>
                        </w:rPr>
                      </w:pPr>
                      <w:r>
                        <w:rPr>
                          <w:rFonts w:cs="Arial"/>
                          <w:sz w:val="22"/>
                          <w:szCs w:val="22"/>
                        </w:rPr>
                        <w:t>Inspired by our Gospel Values we have a shared responsibility to:</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create an environment of welcome, love and respect for each member of our learning family. </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develop the unique gifts and talents of all, striving for excellence in everything we do.   </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live out our commitment to love, service and justice in the local and global community.</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nurture the journey of faith and discovery for all.</w:t>
                      </w:r>
                    </w:p>
                    <w:p w:rsidR="00A871D0" w:rsidRDefault="00F83B9E">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celebrate and reflect on the love of God which is at the heart of all we are.</w:t>
                      </w:r>
                    </w:p>
                    <w:p w:rsidR="00A871D0" w:rsidRDefault="00A871D0">
                      <w:pPr>
                        <w:jc w:val="center"/>
                      </w:pPr>
                    </w:p>
                  </w:txbxContent>
                </v:textbox>
              </v:roundrect>
            </w:pict>
          </mc:Fallback>
        </mc:AlternateContent>
      </w:r>
    </w:p>
    <w:p>
      <w:pPr>
        <w:pStyle w:val="Heading1"/>
      </w:pPr>
    </w:p>
    <w:p>
      <w:pPr>
        <w:pStyle w:val="Heading1"/>
      </w:pPr>
      <w:r>
        <w:t>School Curriculum Intent</w:t>
      </w:r>
    </w:p>
    <w:p>
      <w:pPr>
        <w:rPr>
          <w:color w:val="000000" w:themeColor="text1"/>
        </w:rPr>
      </w:pPr>
    </w:p>
    <w:p>
      <w:pPr>
        <w:rPr>
          <w:color w:val="000000" w:themeColor="text1"/>
        </w:rPr>
      </w:pPr>
    </w:p>
    <w:p>
      <w:pPr>
        <w:rPr>
          <w:color w:val="000000" w:themeColor="text1"/>
        </w:rPr>
      </w:pPr>
    </w:p>
    <w:p>
      <w:pPr>
        <w:rPr>
          <w:color w:val="000000" w:themeColor="text1"/>
        </w:rPr>
      </w:pPr>
    </w:p>
    <w:p>
      <w:r>
        <w:rPr>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3640455</wp:posOffset>
                </wp:positionH>
                <wp:positionV relativeFrom="paragraph">
                  <wp:posOffset>2173605</wp:posOffset>
                </wp:positionV>
                <wp:extent cx="2695575" cy="847725"/>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695575" cy="847725"/>
                        </a:xfrm>
                        <a:prstGeom prst="rect">
                          <a:avLst/>
                        </a:prstGeom>
                        <a:solidFill>
                          <a:schemeClr val="tx2"/>
                        </a:solidFill>
                        <a:ln w="6350">
                          <a:noFill/>
                        </a:ln>
                      </wps:spPr>
                      <wps:txbx>
                        <w:txbxContent>
                          <w:p>
                            <w:pPr>
                              <w:jc w:val="center"/>
                              <w:rPr>
                                <w:color w:val="FFFFFF" w:themeColor="background1"/>
                                <w:sz w:val="28"/>
                                <w:szCs w:val="28"/>
                                <w:lang w:val="en-GB"/>
                              </w:rPr>
                            </w:pPr>
                            <w:r>
                              <w:rPr>
                                <w:color w:val="FFFFFF" w:themeColor="background1"/>
                                <w:sz w:val="28"/>
                                <w:szCs w:val="28"/>
                                <w:lang w:val="en-GB"/>
                              </w:rPr>
                              <w:t>Temporary</w:t>
                            </w:r>
                          </w:p>
                          <w:p>
                            <w:pPr>
                              <w:jc w:val="center"/>
                              <w:rPr>
                                <w:color w:val="FFFFFF" w:themeColor="background1"/>
                                <w:sz w:val="28"/>
                                <w:szCs w:val="28"/>
                                <w:lang w:val="en-GB"/>
                              </w:rPr>
                            </w:pPr>
                            <w:r>
                              <w:rPr>
                                <w:color w:val="FFFFFF" w:themeColor="background1"/>
                                <w:sz w:val="28"/>
                                <w:szCs w:val="28"/>
                                <w:lang w:val="en-GB"/>
                              </w:rPr>
                              <w:t>Teacher of Mathematics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6.65pt;margin-top:171.15pt;width:212.25pt;height:66.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bTRAIAAIAEAAAOAAAAZHJzL2Uyb0RvYy54bWysVMGO2jAQvVfqP1i+l0BKYDcirCgrqkpo&#10;dyWo9mwch1hyPK5tSOjXd+wAS7c9Vb2Y8czkeea9GWYPXaPIUVgnQRd0NBhSIjSHUup9Qb9vV5/u&#10;KHGe6ZIp0KKgJ+How/zjh1lrcpFCDaoUliCIdnlrClp7b/IkcbwWDXMDMEJjsALbMI9Xu09Ky1pE&#10;b1SSDoeTpAVbGgtcOIfexz5I5xG/qgT3z1XlhCeqoFibj6eN5y6cyXzG8r1lppb8XAb7hyoaJjU+&#10;eoV6ZJ6Rg5V/QDWSW3BQ+QGHJoGqklzEHrCb0fBdN5uaGRF7QXKcudLk/h8sfzq+WCLLgqaUaNag&#10;RFvRefIFOpIGdlrjckzaGEzzHbpR5YvfoTM03VW2Cb/YDsE48ny6chvAODrTyX2WTTNKOMbuxtNp&#10;mgWY5O1rY53/KqAhwSioRe0ipey4dr5PvaSExxwoWa6kUvES5kUslSVHhkr7LtaO4L9lKU3agk4+&#10;Z8MIrCF83iMrjbWEXvueguW7XReZufa7g/KENFjox8gZvpJY65o5/8Iszg12jrvgn/GoFOBbcLYo&#10;qcH+/Js/5KOcGKWkxTksqPtxYFZQor5pFPp+NB6HwY2XcTZN8WJvI7vbiD40S0ACRrh1hkcz5Ht1&#10;MSsLzSuuzCK8iiGmOb6NjF3Mpe+3A1eOi8UiJuGoGubXemN4gA6EByW23Suz5iyXR6Gf4DKxLH+n&#10;Wp8bvtSwOHioZJQ08NyzeqYfxzwOxXklwx7d3mPW2x/H/BcAAAD//wMAUEsDBBQABgAIAAAAIQAD&#10;93d84wAAAAsBAAAPAAAAZHJzL2Rvd25yZXYueG1sTI/BSsNAEIbvgu+wjOBF7KZNY9qYSSmFehAK&#10;WgWv2+yYpGZ3Q3abxj6940lvM8zHP9+fr0bTioF63ziLMJ1EIMiWTje2Qnh/294vQPigrFats4Tw&#10;TR5WxfVVrjLtzvaVhn2oBIdYnymEOoQuk9KXNRnlJ64jy7dP1xsVeO0rqXt15nDTylkUPUijGssf&#10;atXRpqbya38yCHfPNI1C9HJJLuFpPXxsj+Nmd0S8vRnXjyACjeEPhl99VoeCnQ7uZLUXLUKSxjGj&#10;CPF8xgMTy2XKZQ4I8zRZgCxy+b9D8QMAAP//AwBQSwECLQAUAAYACAAAACEAtoM4kv4AAADhAQAA&#10;EwAAAAAAAAAAAAAAAAAAAAAAW0NvbnRlbnRfVHlwZXNdLnhtbFBLAQItABQABgAIAAAAIQA4/SH/&#10;1gAAAJQBAAALAAAAAAAAAAAAAAAAAC8BAABfcmVscy8ucmVsc1BLAQItABQABgAIAAAAIQDvOZbT&#10;RAIAAIAEAAAOAAAAAAAAAAAAAAAAAC4CAABkcnMvZTJvRG9jLnhtbFBLAQItABQABgAIAAAAIQAD&#10;93d84wAAAAsBAAAPAAAAAAAAAAAAAAAAAJ4EAABkcnMvZG93bnJldi54bWxQSwUGAAAAAAQABADz&#10;AAAArgUAAAAA&#10;" fillcolor="#335b74 [3215]" stroked="f" strokeweight=".5pt">
                <v:textbox>
                  <w:txbxContent>
                    <w:p w:rsidR="00A871D0" w:rsidRDefault="004F4F4C">
                      <w:pPr>
                        <w:jc w:val="center"/>
                        <w:rPr>
                          <w:color w:val="FFFFFF" w:themeColor="background1"/>
                          <w:sz w:val="28"/>
                          <w:szCs w:val="28"/>
                          <w:lang w:val="en-GB"/>
                        </w:rPr>
                      </w:pPr>
                      <w:r>
                        <w:rPr>
                          <w:color w:val="FFFFFF" w:themeColor="background1"/>
                          <w:sz w:val="28"/>
                          <w:szCs w:val="28"/>
                          <w:lang w:val="en-GB"/>
                        </w:rPr>
                        <w:t>Temporary</w:t>
                      </w:r>
                    </w:p>
                    <w:p w:rsidR="00A871D0" w:rsidRDefault="00F83B9E">
                      <w:pPr>
                        <w:jc w:val="center"/>
                        <w:rPr>
                          <w:color w:val="FFFFFF" w:themeColor="background1"/>
                          <w:sz w:val="28"/>
                          <w:szCs w:val="28"/>
                          <w:lang w:val="en-GB"/>
                        </w:rPr>
                      </w:pPr>
                      <w:r>
                        <w:rPr>
                          <w:color w:val="FFFFFF" w:themeColor="background1"/>
                          <w:sz w:val="28"/>
                          <w:szCs w:val="28"/>
                          <w:lang w:val="en-GB"/>
                        </w:rPr>
                        <w:t>Teacher of Mathematics</w:t>
                      </w:r>
                    </w:p>
                  </w:txbxContent>
                </v:textbox>
              </v:shape>
            </w:pict>
          </mc:Fallback>
        </mc:AlternateContent>
      </w:r>
      <w:r>
        <w:rPr>
          <w:noProof/>
          <w:lang w:val="en-GB" w:eastAsia="en-GB"/>
        </w:rPr>
        <w:drawing>
          <wp:inline distT="0" distB="0" distL="0" distR="0">
            <wp:extent cx="6192520" cy="3482340"/>
            <wp:effectExtent l="152400" t="152400" r="360680" b="3657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2520" cy="3482340"/>
                    </a:xfrm>
                    <a:prstGeom prst="rect">
                      <a:avLst/>
                    </a:prstGeom>
                    <a:ln>
                      <a:noFill/>
                    </a:ln>
                    <a:effectLst>
                      <a:outerShdw blurRad="292100" dist="139700" dir="2700000" algn="tl" rotWithShape="0">
                        <a:srgbClr val="333333">
                          <a:alpha val="65000"/>
                        </a:srgbClr>
                      </a:outerShdw>
                    </a:effectLst>
                  </pic:spPr>
                </pic:pic>
              </a:graphicData>
            </a:graphic>
          </wp:inline>
        </w:drawing>
      </w:r>
      <w:r>
        <w:br w:type="page"/>
      </w:r>
    </w:p>
    <w:p>
      <w:pP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pPr>
        <w:jc w:val="center"/>
        <w:rPr>
          <w:rFonts w:cstheme="minorHAnsi"/>
          <w:b/>
          <w:sz w:val="22"/>
          <w:szCs w:val="22"/>
        </w:rPr>
      </w:pPr>
      <w:r>
        <w:rPr>
          <w:rFonts w:cstheme="minorHAnsi"/>
          <w:b/>
          <w:sz w:val="22"/>
          <w:szCs w:val="22"/>
        </w:rPr>
        <w:t>Required for January 2023 to 31</w:t>
      </w:r>
      <w:r>
        <w:rPr>
          <w:rFonts w:cstheme="minorHAnsi"/>
          <w:b/>
          <w:sz w:val="22"/>
          <w:szCs w:val="22"/>
          <w:vertAlign w:val="superscript"/>
        </w:rPr>
        <w:t>st</w:t>
      </w:r>
      <w:r>
        <w:rPr>
          <w:rFonts w:cstheme="minorHAnsi"/>
          <w:b/>
          <w:sz w:val="22"/>
          <w:szCs w:val="22"/>
        </w:rPr>
        <w:t xml:space="preserve"> August 2023</w:t>
      </w:r>
    </w:p>
    <w:p>
      <w:pPr>
        <w:jc w:val="center"/>
        <w:rPr>
          <w:rFonts w:cstheme="minorHAnsi"/>
          <w:b/>
          <w:sz w:val="36"/>
          <w:szCs w:val="36"/>
        </w:rPr>
      </w:pPr>
      <w:r>
        <w:rPr>
          <w:rFonts w:cstheme="minorHAnsi"/>
          <w:b/>
          <w:sz w:val="36"/>
          <w:szCs w:val="36"/>
        </w:rPr>
        <w:t>Temporary Full Time</w:t>
      </w:r>
    </w:p>
    <w:p>
      <w:pPr>
        <w:jc w:val="center"/>
        <w:rPr>
          <w:rFonts w:cstheme="minorHAnsi"/>
          <w:b/>
          <w:sz w:val="36"/>
          <w:szCs w:val="36"/>
        </w:rPr>
      </w:pPr>
      <w:r>
        <w:rPr>
          <w:rFonts w:cstheme="minorHAnsi"/>
          <w:b/>
          <w:sz w:val="36"/>
          <w:szCs w:val="36"/>
        </w:rPr>
        <w:t>Teacher of Mathematics</w:t>
      </w:r>
    </w:p>
    <w:p>
      <w:pPr>
        <w:pStyle w:val="NoSpacing"/>
        <w:jc w:val="center"/>
        <w:rPr>
          <w:b/>
          <w:sz w:val="28"/>
          <w:szCs w:val="28"/>
        </w:rPr>
      </w:pPr>
      <w:r>
        <w:rPr>
          <w:b/>
          <w:sz w:val="28"/>
          <w:szCs w:val="28"/>
        </w:rPr>
        <w:t>MPS</w:t>
      </w:r>
    </w:p>
    <w:p>
      <w:pPr>
        <w:pStyle w:val="NoSpacing"/>
        <w:jc w:val="center"/>
        <w:rPr>
          <w:b/>
          <w:sz w:val="28"/>
          <w:szCs w:val="28"/>
        </w:rPr>
      </w:pPr>
    </w:p>
    <w:p>
      <w:pPr>
        <w:pStyle w:val="NoSpacing"/>
        <w:rPr>
          <w:sz w:val="22"/>
          <w:szCs w:val="22"/>
        </w:rPr>
      </w:pPr>
    </w:p>
    <w:p>
      <w:pPr>
        <w:jc w:val="both"/>
        <w:rPr>
          <w:rFonts w:cstheme="minorHAnsi"/>
          <w:sz w:val="22"/>
          <w:szCs w:val="22"/>
        </w:rPr>
      </w:pPr>
      <w:r>
        <w:rPr>
          <w:rFonts w:cstheme="minorHAnsi"/>
          <w:sz w:val="22"/>
          <w:szCs w:val="22"/>
        </w:rPr>
        <w:t xml:space="preserve">The Governors wish to appoint a qualified and enthusiastic mathematics teacher to join a happy and vibrant faculty in this successful Catholic 11-16 High School.   </w:t>
      </w:r>
    </w:p>
    <w:p>
      <w:pPr>
        <w:jc w:val="both"/>
        <w:rPr>
          <w:rFonts w:cstheme="minorHAnsi"/>
          <w:sz w:val="22"/>
          <w:szCs w:val="22"/>
        </w:rPr>
      </w:pPr>
    </w:p>
    <w:p>
      <w:pPr>
        <w:jc w:val="both"/>
        <w:rPr>
          <w:rFonts w:cstheme="minorHAnsi"/>
          <w:sz w:val="22"/>
          <w:szCs w:val="22"/>
        </w:rPr>
      </w:pPr>
      <w:r>
        <w:rPr>
          <w:rFonts w:cstheme="minorHAnsi"/>
          <w:sz w:val="22"/>
          <w:szCs w:val="22"/>
        </w:rPr>
        <w:t xml:space="preserve">This is an ideal opportunity for an ambitious specialist to join a supportive faculty and be part of a team of highly dedicated school staff.  </w:t>
      </w:r>
    </w:p>
    <w:p>
      <w:pPr>
        <w:jc w:val="both"/>
        <w:rPr>
          <w:rFonts w:cstheme="minorHAnsi"/>
          <w:sz w:val="22"/>
          <w:szCs w:val="22"/>
        </w:rPr>
      </w:pPr>
    </w:p>
    <w:p>
      <w:pPr>
        <w:jc w:val="both"/>
        <w:rPr>
          <w:rFonts w:cstheme="minorHAnsi"/>
          <w:sz w:val="22"/>
          <w:szCs w:val="22"/>
        </w:rPr>
      </w:pPr>
      <w:r>
        <w:rPr>
          <w:rFonts w:cstheme="minorHAnsi"/>
          <w:sz w:val="22"/>
          <w:szCs w:val="22"/>
        </w:rPr>
        <w:t>Applications from experienced colleagues are welcome as well as NQTs and candidates of any faith or no faith.</w:t>
      </w:r>
    </w:p>
    <w:p>
      <w:pPr>
        <w:rPr>
          <w:rFonts w:cstheme="minorHAnsi"/>
        </w:rPr>
      </w:pPr>
    </w:p>
    <w:p>
      <w:pPr>
        <w:jc w:val="center"/>
        <w:rPr>
          <w:rFonts w:ascii="Arial" w:hAnsi="Arial" w:cs="Arial"/>
          <w:b/>
          <w:bCs/>
          <w:color w:val="09214E"/>
          <w:sz w:val="20"/>
        </w:rPr>
      </w:pPr>
      <w:r>
        <w:rPr>
          <w:rFonts w:ascii="Arial" w:hAnsi="Arial" w:cs="Arial"/>
          <w:b/>
          <w:bCs/>
          <w:color w:val="09214E"/>
          <w:sz w:val="20"/>
        </w:rPr>
        <w:t>“This is a school where pupils are confident, full of life, and considerate of others. Pupils are known well and cared about. Pupils behave well and work hard in class.”</w:t>
      </w:r>
    </w:p>
    <w:p>
      <w:pPr>
        <w:jc w:val="center"/>
        <w:rPr>
          <w:rFonts w:cstheme="minorHAnsi"/>
          <w:sz w:val="22"/>
          <w:szCs w:val="22"/>
        </w:rPr>
      </w:pPr>
      <w:r>
        <w:rPr>
          <w:rFonts w:ascii="Arial" w:hAnsi="Arial" w:cs="Arial"/>
          <w:color w:val="09214E"/>
          <w:sz w:val="20"/>
        </w:rPr>
        <w:t>OFSTED January 2020</w:t>
      </w:r>
    </w:p>
    <w:p>
      <w:pPr>
        <w:jc w:val="center"/>
        <w:rPr>
          <w:rFonts w:cstheme="minorHAnsi"/>
          <w:sz w:val="22"/>
          <w:szCs w:val="22"/>
        </w:rPr>
      </w:pPr>
    </w:p>
    <w:p>
      <w:pPr>
        <w:pStyle w:val="NoSpacing"/>
        <w:jc w:val="center"/>
        <w:rPr>
          <w:color w:val="auto"/>
          <w:sz w:val="22"/>
          <w:szCs w:val="22"/>
        </w:rPr>
      </w:pPr>
      <w:r>
        <w:rPr>
          <w:color w:val="auto"/>
          <w:sz w:val="22"/>
          <w:szCs w:val="22"/>
        </w:rPr>
        <w:t>Further information and an application pack are available to download from the school website:</w:t>
      </w:r>
    </w:p>
    <w:p>
      <w:pPr>
        <w:pStyle w:val="NoSpacing"/>
        <w:jc w:val="center"/>
        <w:rPr>
          <w:sz w:val="22"/>
          <w:szCs w:val="22"/>
        </w:rPr>
      </w:pPr>
      <w:hyperlink r:id="rId11" w:history="1">
        <w:r>
          <w:rPr>
            <w:rStyle w:val="Hyperlink"/>
            <w:sz w:val="22"/>
            <w:szCs w:val="22"/>
          </w:rPr>
          <w:t>www.st-maryshigh.lancs.sch.uk</w:t>
        </w:r>
      </w:hyperlink>
      <w:r>
        <w:rPr>
          <w:sz w:val="22"/>
          <w:szCs w:val="22"/>
        </w:rPr>
        <w:t>.</w:t>
      </w:r>
    </w:p>
    <w:p>
      <w:pPr>
        <w:pStyle w:val="NoSpacing"/>
        <w:jc w:val="center"/>
        <w:rPr>
          <w:sz w:val="22"/>
          <w:szCs w:val="22"/>
        </w:rPr>
      </w:pPr>
    </w:p>
    <w:p>
      <w:pPr>
        <w:jc w:val="center"/>
        <w:rPr>
          <w:b/>
        </w:rPr>
      </w:pPr>
      <w:r>
        <w:rPr>
          <w:b/>
        </w:rPr>
        <w:t xml:space="preserve">Please return completed application to </w:t>
      </w:r>
      <w:hyperlink r:id="rId12" w:history="1">
        <w:r>
          <w:rPr>
            <w:rStyle w:val="Hyperlink"/>
            <w:b/>
          </w:rPr>
          <w:t>recruitment@st-maryshigh.lancs.sch.uk</w:t>
        </w:r>
      </w:hyperlink>
    </w:p>
    <w:p>
      <w:pPr>
        <w:pStyle w:val="NoSpacing"/>
        <w:rPr>
          <w:b/>
          <w:sz w:val="22"/>
          <w:szCs w:val="22"/>
          <w:highlight w:val="yellow"/>
        </w:rPr>
      </w:pPr>
    </w:p>
    <w:p>
      <w:pPr>
        <w:pStyle w:val="NoSpacing"/>
        <w:jc w:val="center"/>
        <w:rPr>
          <w:b/>
          <w:color w:val="auto"/>
          <w:sz w:val="22"/>
          <w:szCs w:val="22"/>
        </w:rPr>
      </w:pPr>
      <w:r>
        <w:rPr>
          <w:b/>
          <w:color w:val="auto"/>
          <w:sz w:val="22"/>
          <w:szCs w:val="22"/>
        </w:rPr>
        <w:t>If you would like to speak to Mrs Pontifex Head of Mathematics to discuss the post or arrange an informal visit please contact the school on 01772 339813</w:t>
      </w:r>
    </w:p>
    <w:p>
      <w:pPr>
        <w:pStyle w:val="NoSpacing"/>
        <w:jc w:val="center"/>
        <w:rPr>
          <w:color w:val="auto"/>
          <w:sz w:val="22"/>
          <w:szCs w:val="22"/>
        </w:rPr>
      </w:pPr>
    </w:p>
    <w:p>
      <w:pPr>
        <w:pStyle w:val="NoSpacing"/>
        <w:jc w:val="center"/>
        <w:rPr>
          <w:b/>
          <w:color w:val="auto"/>
          <w:sz w:val="22"/>
          <w:szCs w:val="22"/>
        </w:rPr>
      </w:pPr>
      <w:r>
        <w:rPr>
          <w:color w:val="auto"/>
          <w:sz w:val="22"/>
          <w:szCs w:val="22"/>
        </w:rPr>
        <w:t xml:space="preserve">Closing Date: </w:t>
      </w:r>
      <w:r>
        <w:rPr>
          <w:b/>
          <w:color w:val="auto"/>
          <w:sz w:val="22"/>
          <w:szCs w:val="22"/>
        </w:rPr>
        <w:t>Monday 28</w:t>
      </w:r>
      <w:r>
        <w:rPr>
          <w:b/>
          <w:color w:val="auto"/>
          <w:sz w:val="22"/>
          <w:szCs w:val="22"/>
          <w:vertAlign w:val="superscript"/>
        </w:rPr>
        <w:t>th</w:t>
      </w:r>
      <w:r>
        <w:rPr>
          <w:b/>
          <w:color w:val="auto"/>
          <w:sz w:val="22"/>
          <w:szCs w:val="22"/>
        </w:rPr>
        <w:t xml:space="preserve"> November 2022 at 12 Noon</w:t>
      </w:r>
    </w:p>
    <w:p>
      <w:pPr>
        <w:spacing w:after="0"/>
        <w:jc w:val="center"/>
        <w:rPr>
          <w:rFonts w:cstheme="minorHAnsi"/>
          <w:sz w:val="18"/>
          <w:szCs w:val="18"/>
        </w:rPr>
      </w:pPr>
      <w:r>
        <w:rPr>
          <w:rFonts w:cstheme="minorHAnsi"/>
          <w:sz w:val="18"/>
          <w:szCs w:val="18"/>
        </w:rPr>
        <w:t xml:space="preserve">If you do not hear anything within four weeks of the closing date, you will not have been successful on this occasion </w:t>
      </w:r>
    </w:p>
    <w:p>
      <w:pPr>
        <w:pStyle w:val="NoSpacing"/>
        <w:jc w:val="center"/>
        <w:rPr>
          <w:b/>
          <w:color w:val="auto"/>
          <w:sz w:val="22"/>
          <w:szCs w:val="22"/>
        </w:rPr>
      </w:pPr>
    </w:p>
    <w:p>
      <w:pPr>
        <w:pStyle w:val="NoSpacing"/>
        <w:jc w:val="center"/>
        <w:rPr>
          <w:b/>
          <w:color w:val="auto"/>
          <w:sz w:val="22"/>
          <w:szCs w:val="22"/>
        </w:rPr>
      </w:pPr>
      <w:r>
        <w:rPr>
          <w:color w:val="auto"/>
          <w:sz w:val="22"/>
          <w:szCs w:val="22"/>
        </w:rPr>
        <w:t>Proposed Interview Date:</w:t>
      </w:r>
      <w:r>
        <w:rPr>
          <w:sz w:val="22"/>
          <w:szCs w:val="22"/>
        </w:rPr>
        <w:t xml:space="preserve"> </w:t>
      </w:r>
      <w:r>
        <w:rPr>
          <w:b/>
          <w:color w:val="auto"/>
          <w:sz w:val="22"/>
          <w:szCs w:val="22"/>
        </w:rPr>
        <w:t>To be confirmed</w:t>
      </w:r>
    </w:p>
    <w:p>
      <w:pPr>
        <w:pStyle w:val="NoSpacing"/>
        <w:jc w:val="center"/>
        <w:rPr>
          <w:b/>
          <w:color w:val="auto"/>
          <w:sz w:val="22"/>
          <w:szCs w:val="22"/>
        </w:rPr>
      </w:pPr>
    </w:p>
    <w:p>
      <w:pPr>
        <w:pStyle w:val="NoSpacing"/>
        <w:rPr>
          <w:sz w:val="22"/>
          <w:szCs w:val="22"/>
        </w:rPr>
      </w:pPr>
    </w:p>
    <w:p>
      <w:pPr>
        <w:pStyle w:val="NoSpacing"/>
        <w:jc w:val="center"/>
        <w:rPr>
          <w:sz w:val="22"/>
          <w:szCs w:val="22"/>
        </w:rPr>
      </w:pPr>
      <w:r>
        <w:rPr>
          <w:sz w:val="22"/>
          <w:szCs w:val="22"/>
        </w:rPr>
        <w:t xml:space="preserve">This post is subject to an enhanced disclosure with the DBS.  </w:t>
      </w:r>
    </w:p>
    <w:p>
      <w:pPr>
        <w:pStyle w:val="NoSpacing"/>
        <w:jc w:val="center"/>
        <w:rPr>
          <w:i/>
          <w:sz w:val="22"/>
          <w:szCs w:val="22"/>
        </w:rPr>
      </w:pPr>
      <w:r>
        <w:rPr>
          <w:i/>
          <w:sz w:val="22"/>
          <w:szCs w:val="22"/>
        </w:rPr>
        <w:t>Brownedge St. Mary’s Catholic High School is an Equal Opportunity Employer and is committed to ensuring the safety of all its children and young people</w:t>
      </w:r>
    </w:p>
    <w:p>
      <w:pPr>
        <w:pStyle w:val="NoSpacing"/>
        <w:jc w:val="center"/>
        <w:rPr>
          <w:i/>
          <w:sz w:val="22"/>
          <w:szCs w:val="22"/>
        </w:rPr>
      </w:pPr>
    </w:p>
    <w:p>
      <w:pPr>
        <w:spacing w:before="60" w:afterLines="60" w:after="144" w:line="240" w:lineRule="auto"/>
        <w:rPr>
          <w:sz w:val="22"/>
          <w:szCs w:val="22"/>
        </w:rPr>
      </w:pPr>
    </w:p>
    <w:p>
      <w:pPr>
        <w:spacing w:before="60" w:afterLines="60" w:after="144" w:line="240" w:lineRule="auto"/>
        <w:ind w:left="567" w:right="396"/>
        <w:rPr>
          <w:sz w:val="22"/>
          <w:szCs w:val="22"/>
        </w:rPr>
      </w:pPr>
    </w:p>
    <w:p>
      <w:pPr>
        <w:spacing w:before="60" w:afterLines="60" w:after="144" w:line="240" w:lineRule="auto"/>
        <w:ind w:left="567" w:right="396"/>
        <w:rPr>
          <w:sz w:val="22"/>
          <w:szCs w:val="22"/>
        </w:rPr>
      </w:pPr>
    </w:p>
    <w:p>
      <w:pPr>
        <w:spacing w:before="60" w:afterLines="60" w:after="144" w:line="240" w:lineRule="auto"/>
        <w:ind w:left="567" w:right="396"/>
        <w:rPr>
          <w:color w:val="auto"/>
          <w:sz w:val="22"/>
          <w:szCs w:val="22"/>
        </w:rPr>
      </w:pPr>
    </w:p>
    <w:p>
      <w:pPr>
        <w:spacing w:before="60" w:afterLines="60" w:after="144" w:line="240" w:lineRule="auto"/>
        <w:ind w:left="567" w:right="396"/>
        <w:rPr>
          <w:color w:val="auto"/>
          <w:sz w:val="22"/>
          <w:szCs w:val="22"/>
        </w:rPr>
      </w:pPr>
    </w:p>
    <w:p>
      <w:pPr>
        <w:rPr>
          <w:color w:val="auto"/>
          <w:sz w:val="22"/>
          <w:szCs w:val="22"/>
        </w:rPr>
      </w:pPr>
    </w:p>
    <w:p>
      <w:pPr>
        <w:rPr>
          <w:color w:val="auto"/>
          <w:sz w:val="22"/>
          <w:szCs w:val="22"/>
        </w:rPr>
      </w:pPr>
      <w:r>
        <w:rPr>
          <w:color w:val="auto"/>
          <w:sz w:val="22"/>
          <w:szCs w:val="22"/>
        </w:rPr>
        <w:lastRenderedPageBreak/>
        <w:br w:type="page"/>
      </w:r>
    </w:p>
    <w:p>
      <w:pPr>
        <w:spacing w:before="40" w:afterLines="40" w:after="96" w:line="240" w:lineRule="auto"/>
        <w:ind w:left="567" w:right="396"/>
        <w:jc w:val="both"/>
        <w:rPr>
          <w:color w:val="auto"/>
          <w:sz w:val="22"/>
          <w:szCs w:val="22"/>
        </w:rPr>
      </w:pPr>
      <w:r>
        <w:rPr>
          <w:color w:val="auto"/>
          <w:sz w:val="22"/>
          <w:szCs w:val="22"/>
        </w:rPr>
        <w:t>Dear Applicant</w:t>
      </w:r>
    </w:p>
    <w:p>
      <w:pPr>
        <w:spacing w:before="40" w:afterLines="40" w:after="96" w:line="240" w:lineRule="auto"/>
        <w:ind w:left="567" w:right="396"/>
        <w:jc w:val="both"/>
        <w:rPr>
          <w:color w:val="auto"/>
          <w:sz w:val="22"/>
          <w:szCs w:val="22"/>
        </w:rPr>
      </w:pPr>
    </w:p>
    <w:p>
      <w:pPr>
        <w:spacing w:before="40" w:afterLines="40" w:after="96" w:line="240" w:lineRule="auto"/>
        <w:ind w:left="567" w:right="396"/>
        <w:jc w:val="both"/>
        <w:rPr>
          <w:color w:val="auto"/>
          <w:sz w:val="22"/>
          <w:szCs w:val="22"/>
        </w:rPr>
      </w:pPr>
      <w:r>
        <w:rPr>
          <w:color w:val="auto"/>
          <w:sz w:val="22"/>
          <w:szCs w:val="22"/>
        </w:rPr>
        <w:t xml:space="preserve">I am delighted to be writing to you as Headteacher of Brownedge St. Mary’s Catholic High School. Having started my career here almost 26 years ago, I have a deep </w:t>
      </w:r>
      <w:r>
        <w:rPr>
          <w:rFonts w:hint="eastAsia"/>
          <w:color w:val="auto"/>
          <w:sz w:val="22"/>
          <w:szCs w:val="22"/>
        </w:rPr>
        <w:t>understanding</w:t>
      </w:r>
      <w:r>
        <w:rPr>
          <w:color w:val="auto"/>
          <w:sz w:val="22"/>
          <w:szCs w:val="22"/>
        </w:rPr>
        <w:t xml:space="preserve"> of our school. It is truly a warm, </w:t>
      </w:r>
      <w:r>
        <w:rPr>
          <w:rFonts w:hint="eastAsia"/>
          <w:color w:val="auto"/>
          <w:sz w:val="22"/>
          <w:szCs w:val="22"/>
        </w:rPr>
        <w:t>welcoming</w:t>
      </w:r>
      <w:r>
        <w:rPr>
          <w:color w:val="auto"/>
          <w:sz w:val="22"/>
          <w:szCs w:val="22"/>
        </w:rPr>
        <w:t xml:space="preserve"> and vibrant place to be, where we work as a family to support, challenge and care for one another, striving continuously for excellence and to be the best that we can be.</w:t>
      </w:r>
    </w:p>
    <w:p>
      <w:pPr>
        <w:spacing w:before="40" w:afterLines="40" w:after="96" w:line="240" w:lineRule="auto"/>
        <w:ind w:left="567" w:right="397"/>
        <w:jc w:val="both"/>
        <w:rPr>
          <w:color w:val="auto"/>
        </w:rPr>
      </w:pPr>
      <w:r>
        <w:rPr>
          <w:color w:val="auto"/>
          <w:sz w:val="22"/>
          <w:szCs w:val="22"/>
        </w:rPr>
        <w:t>Here, at Brownedge St Mary’s, we place Christ at the centre of our pupils’ lives: a place to encounter the living God in all that we are and do. Christ becomes alive by integrating Gospel values into every aspect of teaching, learning and the totality of school life both inside and outside the classroom. As a school we challenge every member of our community to “Let Your Light Shine” and to develop their God-given talents to their full potential. By doing this we ensure that our pupils’ journeys into adulthood are also journeys of faith from which grow values, aspirations and morals that inform their actions and choices as unique individuals.</w:t>
      </w:r>
      <w:r>
        <w:rPr>
          <w:color w:val="auto"/>
        </w:rPr>
        <w:t xml:space="preserve"> </w:t>
      </w:r>
    </w:p>
    <w:p>
      <w:pPr>
        <w:spacing w:before="40" w:afterLines="40" w:after="96" w:line="240" w:lineRule="auto"/>
        <w:ind w:left="567" w:right="396"/>
        <w:jc w:val="both"/>
        <w:rPr>
          <w:color w:val="auto"/>
          <w:sz w:val="22"/>
          <w:szCs w:val="22"/>
        </w:rPr>
      </w:pPr>
      <w:r>
        <w:rPr>
          <w:color w:val="auto"/>
          <w:sz w:val="22"/>
          <w:szCs w:val="22"/>
        </w:rPr>
        <w:t xml:space="preserve">Our school is an environment where pupils feel safe, cared for and confident to express themselves. As a result, excellent relationships are formed, based on mutual respect and care for one another. I am extremely proud of our hard working and dedicated staff who go beyond </w:t>
      </w:r>
      <w:proofErr w:type="gramStart"/>
      <w:r>
        <w:rPr>
          <w:color w:val="auto"/>
          <w:sz w:val="22"/>
          <w:szCs w:val="22"/>
        </w:rPr>
        <w:t>high quality</w:t>
      </w:r>
      <w:proofErr w:type="gramEnd"/>
      <w:r>
        <w:rPr>
          <w:color w:val="auto"/>
          <w:sz w:val="22"/>
          <w:szCs w:val="22"/>
        </w:rPr>
        <w:t xml:space="preserve"> teaching and pastoral care and offer a rich extracurricular provision that ensures daily enrichment for all. </w:t>
      </w:r>
    </w:p>
    <w:p>
      <w:pPr>
        <w:pStyle w:val="NormalWeb"/>
        <w:shd w:val="clear" w:color="auto" w:fill="FFFFFF"/>
        <w:spacing w:before="40" w:beforeAutospacing="0" w:afterLines="40" w:after="96" w:afterAutospacing="0"/>
        <w:ind w:left="567" w:right="396"/>
        <w:jc w:val="both"/>
        <w:rPr>
          <w:rFonts w:asciiTheme="minorHAnsi" w:hAnsiTheme="minorHAnsi" w:cstheme="minorBidi"/>
          <w:sz w:val="22"/>
          <w:szCs w:val="22"/>
        </w:rPr>
      </w:pPr>
      <w:r>
        <w:rPr>
          <w:rFonts w:asciiTheme="minorHAnsi" w:hAnsiTheme="minorHAnsi" w:cstheme="minorBidi"/>
          <w:sz w:val="22"/>
          <w:szCs w:val="22"/>
        </w:rPr>
        <w:t xml:space="preserve">This is an exciting time for our school as it moves forward in the next phase of its journey to becoming an outstanding Catholic school. As an inspirational teacher of </w:t>
      </w:r>
      <w:proofErr w:type="gramStart"/>
      <w:r>
        <w:rPr>
          <w:rFonts w:asciiTheme="minorHAnsi" w:hAnsiTheme="minorHAnsi" w:cstheme="minorBidi"/>
          <w:sz w:val="22"/>
          <w:szCs w:val="22"/>
        </w:rPr>
        <w:t>mathematics</w:t>
      </w:r>
      <w:proofErr w:type="gramEnd"/>
      <w:r>
        <w:rPr>
          <w:rFonts w:asciiTheme="minorHAnsi" w:hAnsiTheme="minorHAnsi" w:cstheme="minorBidi"/>
          <w:sz w:val="22"/>
          <w:szCs w:val="22"/>
        </w:rPr>
        <w:t xml:space="preserve"> you will be working in a team that is passionate and committed to delivering the absolute best for all our students. If you are someone who has energy, determination and drive and are collaborative and build strong relationships then Brownedge is the community for you.</w:t>
      </w:r>
    </w:p>
    <w:p>
      <w:pPr>
        <w:spacing w:before="40" w:afterLines="40" w:after="96" w:line="240" w:lineRule="auto"/>
        <w:ind w:left="567" w:right="397"/>
        <w:jc w:val="both"/>
        <w:rPr>
          <w:color w:val="auto"/>
          <w:sz w:val="22"/>
          <w:szCs w:val="22"/>
        </w:rPr>
      </w:pPr>
      <w:r>
        <w:rPr>
          <w:color w:val="auto"/>
          <w:sz w:val="22"/>
          <w:szCs w:val="22"/>
        </w:rPr>
        <w:t>I hope you are the person we are seeking. Should you decide to apply please read the job description and person specification carefully as it is important that, in your letter of application, you can demonstrate how your current experience, skills and qualities meet the job profile, and in particular, how you meet the requirements of the person specification.</w:t>
      </w:r>
    </w:p>
    <w:p>
      <w:pPr>
        <w:spacing w:before="40" w:afterLines="40" w:after="96" w:line="240" w:lineRule="auto"/>
        <w:ind w:left="567" w:right="397"/>
        <w:jc w:val="both"/>
        <w:rPr>
          <w:color w:val="auto"/>
          <w:sz w:val="22"/>
          <w:szCs w:val="22"/>
        </w:rPr>
      </w:pPr>
      <w:r>
        <w:rPr>
          <w:color w:val="auto"/>
          <w:sz w:val="22"/>
          <w:szCs w:val="22"/>
        </w:rPr>
        <w:t xml:space="preserve">You are reminded that the closing date for applications is </w:t>
      </w:r>
      <w:r>
        <w:rPr>
          <w:b/>
          <w:color w:val="auto"/>
          <w:sz w:val="22"/>
          <w:szCs w:val="22"/>
        </w:rPr>
        <w:t>Monday 28</w:t>
      </w:r>
      <w:r>
        <w:rPr>
          <w:b/>
          <w:color w:val="auto"/>
          <w:sz w:val="22"/>
          <w:szCs w:val="22"/>
          <w:vertAlign w:val="superscript"/>
        </w:rPr>
        <w:t>th</w:t>
      </w:r>
      <w:r>
        <w:rPr>
          <w:b/>
          <w:color w:val="auto"/>
          <w:sz w:val="22"/>
          <w:szCs w:val="22"/>
        </w:rPr>
        <w:t xml:space="preserve"> November 2022 </w:t>
      </w:r>
      <w:r>
        <w:rPr>
          <w:b/>
          <w:bCs/>
          <w:color w:val="auto"/>
          <w:sz w:val="22"/>
          <w:szCs w:val="22"/>
        </w:rPr>
        <w:t>at 12 Noon</w:t>
      </w:r>
      <w:r>
        <w:rPr>
          <w:color w:val="auto"/>
          <w:sz w:val="22"/>
          <w:szCs w:val="22"/>
        </w:rPr>
        <w:t xml:space="preserve">. </w:t>
      </w:r>
    </w:p>
    <w:p>
      <w:pPr>
        <w:spacing w:before="40" w:afterLines="40" w:after="96" w:line="240" w:lineRule="auto"/>
        <w:ind w:left="567" w:right="397"/>
        <w:jc w:val="both"/>
        <w:rPr>
          <w:color w:val="auto"/>
          <w:sz w:val="22"/>
          <w:szCs w:val="22"/>
        </w:rPr>
      </w:pPr>
      <w:r>
        <w:rPr>
          <w:color w:val="auto"/>
          <w:sz w:val="22"/>
          <w:szCs w:val="22"/>
        </w:rPr>
        <w:t>Brownedge St Mary’s Catholic High School is committed to safeguarding and promoting the welfare of young people and expects all staff to share this commitment. The successful candidate will be subject to satisfactory Enhanced DBS clearance and all pre-employment checks to include satisfactory references.</w:t>
      </w:r>
    </w:p>
    <w:p>
      <w:pPr>
        <w:spacing w:before="40" w:afterLines="40" w:after="96" w:line="240" w:lineRule="auto"/>
        <w:ind w:left="567" w:right="397"/>
        <w:jc w:val="both"/>
        <w:rPr>
          <w:color w:val="auto"/>
          <w:sz w:val="22"/>
          <w:szCs w:val="22"/>
        </w:rPr>
      </w:pPr>
      <w:r>
        <w:rPr>
          <w:color w:val="auto"/>
          <w:sz w:val="22"/>
          <w:szCs w:val="22"/>
        </w:rPr>
        <w:t xml:space="preserve">If you join our team you will enjoy a full and purposeful career where you are valued, supported to develop and your hard work is recognised. I hope that, having read all the necessary information about our school, you are excited about applying for this position. </w:t>
      </w:r>
    </w:p>
    <w:p>
      <w:pPr>
        <w:spacing w:before="40" w:afterLines="40" w:after="96" w:line="240" w:lineRule="auto"/>
        <w:ind w:left="567" w:right="397"/>
        <w:jc w:val="both"/>
        <w:rPr>
          <w:color w:val="auto"/>
          <w:sz w:val="22"/>
          <w:szCs w:val="22"/>
        </w:rPr>
      </w:pPr>
      <w:r>
        <w:rPr>
          <w:color w:val="auto"/>
          <w:sz w:val="22"/>
          <w:szCs w:val="22"/>
        </w:rPr>
        <w:t>I look forward to receiving your completed application and reading what you have to offer our School.</w:t>
      </w:r>
    </w:p>
    <w:p>
      <w:pPr>
        <w:spacing w:before="40" w:afterLines="40" w:after="96" w:line="240" w:lineRule="auto"/>
        <w:ind w:left="567" w:right="-427"/>
        <w:jc w:val="both"/>
        <w:rPr>
          <w:color w:val="auto"/>
          <w:sz w:val="22"/>
          <w:szCs w:val="22"/>
        </w:rPr>
      </w:pPr>
    </w:p>
    <w:p>
      <w:pPr>
        <w:spacing w:before="40" w:afterLines="40" w:after="96" w:line="240" w:lineRule="auto"/>
        <w:ind w:left="567" w:right="-427"/>
        <w:jc w:val="both"/>
        <w:rPr>
          <w:color w:val="auto"/>
          <w:sz w:val="22"/>
          <w:szCs w:val="22"/>
        </w:rPr>
      </w:pPr>
      <w:r>
        <w:rPr>
          <w:color w:val="auto"/>
          <w:sz w:val="22"/>
          <w:szCs w:val="22"/>
        </w:rPr>
        <w:t xml:space="preserve">Warm regards, </w:t>
      </w:r>
    </w:p>
    <w:p>
      <w:pPr>
        <w:spacing w:before="40" w:afterLines="40" w:after="96" w:line="240" w:lineRule="auto"/>
        <w:ind w:left="567" w:right="396"/>
        <w:jc w:val="both"/>
        <w:rPr>
          <w:color w:val="auto"/>
          <w:sz w:val="22"/>
          <w:szCs w:val="22"/>
        </w:rPr>
      </w:pPr>
      <w:r>
        <w:rPr>
          <w:noProof/>
          <w:color w:val="auto"/>
          <w:sz w:val="22"/>
          <w:szCs w:val="22"/>
          <w:lang w:val="en-GB" w:eastAsia="en-GB"/>
        </w:rPr>
        <w:drawing>
          <wp:inline distT="0" distB="0" distL="0" distR="0">
            <wp:extent cx="451411" cy="740902"/>
            <wp:effectExtent l="7620" t="0" r="0" b="0"/>
            <wp:docPr id="18" name="Picture 18" descr="C:\Users\oddien\AppData\Local\Microsoft\Windows\Temporary Internet Files\Content.Outlook\G0TNZ6C6\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dien\AppData\Local\Microsoft\Windows\Temporary Internet Files\Content.Outlook\G0TNZ6C6\IMG_0996.JPG"/>
                    <pic:cNvPicPr>
                      <a:picLocks noChangeAspect="1" noChangeArrowheads="1"/>
                    </pic:cNvPicPr>
                  </pic:nvPicPr>
                  <pic:blipFill rotWithShape="1">
                    <a:blip r:embed="rId13" cstate="print">
                      <a:clrChange>
                        <a:clrFrom>
                          <a:srgbClr val="CEBBAA"/>
                        </a:clrFrom>
                        <a:clrTo>
                          <a:srgbClr val="CEBBAA">
                            <a:alpha val="0"/>
                          </a:srgbClr>
                        </a:clrTo>
                      </a:clrChange>
                      <a:extLst>
                        <a:ext uri="{28A0092B-C50C-407E-A947-70E740481C1C}">
                          <a14:useLocalDpi xmlns:a14="http://schemas.microsoft.com/office/drawing/2010/main" val="0"/>
                        </a:ext>
                      </a:extLst>
                    </a:blip>
                    <a:srcRect l="44085" t="30064" r="32408" b="18483"/>
                    <a:stretch/>
                  </pic:blipFill>
                  <pic:spPr bwMode="auto">
                    <a:xfrm rot="5400000">
                      <a:off x="0" y="0"/>
                      <a:ext cx="459922" cy="754872"/>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40" w:afterLines="40" w:after="96" w:line="240" w:lineRule="auto"/>
        <w:ind w:left="567" w:right="396"/>
        <w:jc w:val="both"/>
        <w:rPr>
          <w:color w:val="auto"/>
          <w:sz w:val="22"/>
          <w:szCs w:val="22"/>
        </w:rPr>
      </w:pPr>
      <w:r>
        <w:rPr>
          <w:color w:val="auto"/>
          <w:sz w:val="22"/>
          <w:szCs w:val="22"/>
        </w:rPr>
        <w:t>Mrs Nicola Oddie</w:t>
      </w:r>
    </w:p>
    <w:p>
      <w:pPr>
        <w:spacing w:before="40" w:afterLines="40" w:after="96" w:line="240" w:lineRule="auto"/>
        <w:ind w:left="567" w:right="396"/>
        <w:jc w:val="both"/>
        <w:rPr>
          <w:color w:val="auto"/>
          <w:sz w:val="22"/>
          <w:szCs w:val="22"/>
        </w:rPr>
      </w:pPr>
      <w:r>
        <w:rPr>
          <w:color w:val="auto"/>
          <w:sz w:val="22"/>
          <w:szCs w:val="22"/>
        </w:rPr>
        <w:t xml:space="preserve">Headteacher </w:t>
      </w:r>
    </w:p>
    <w:p>
      <w:pPr>
        <w:spacing w:before="40" w:afterLines="40" w:after="96" w:line="240" w:lineRule="auto"/>
        <w:jc w:val="both"/>
        <w:rPr>
          <w:sz w:val="22"/>
          <w:szCs w:val="22"/>
        </w:rPr>
      </w:pPr>
      <w:r>
        <w:rPr>
          <w:sz w:val="22"/>
          <w:szCs w:val="22"/>
        </w:rPr>
        <w:br w:type="page"/>
      </w:r>
    </w:p>
    <w:p>
      <w:pPr>
        <w:spacing w:before="60" w:afterLines="60" w:after="144" w:line="240" w:lineRule="auto"/>
        <w:ind w:left="567" w:right="396"/>
        <w:rPr>
          <w:sz w:val="22"/>
          <w:szCs w:val="22"/>
        </w:rPr>
      </w:pPr>
      <w:r>
        <w:rPr>
          <w:rFonts w:cstheme="minorHAnsi"/>
          <w:b/>
          <w:noProof/>
          <w:sz w:val="36"/>
          <w:szCs w:val="36"/>
        </w:rPr>
        <w:lastRenderedPageBreak/>
        <w:drawing>
          <wp:anchor distT="0" distB="0" distL="114300" distR="114300" simplePos="0" relativeHeight="251681792" behindDoc="0" locked="0" layoutInCell="1" allowOverlap="1">
            <wp:simplePos x="0" y="0"/>
            <wp:positionH relativeFrom="column">
              <wp:posOffset>5857875</wp:posOffset>
            </wp:positionH>
            <wp:positionV relativeFrom="paragraph">
              <wp:posOffset>14605</wp:posOffset>
            </wp:positionV>
            <wp:extent cx="854759" cy="1085850"/>
            <wp:effectExtent l="0" t="0" r="2540" b="0"/>
            <wp:wrapThrough wrapText="bothSides">
              <wp:wrapPolygon edited="0">
                <wp:start x="0" y="0"/>
                <wp:lineTo x="0" y="21221"/>
                <wp:lineTo x="21183" y="21221"/>
                <wp:lineTo x="21183" y="0"/>
                <wp:lineTo x="0" y="0"/>
              </wp:wrapPolygon>
            </wp:wrapThrough>
            <wp:docPr id="9" name="Picture 9" descr="C:\Users\bursar.BROWNEDGE\Desktop\New Badge blue cross t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sar.BROWNEDGE\Desktop\New Badge blue cross taller.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854759"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both"/>
        <w:rPr>
          <w:rFonts w:cstheme="minorHAnsi"/>
          <w:smallCaps/>
          <w:color w:val="auto"/>
          <w:sz w:val="36"/>
          <w:szCs w:val="36"/>
        </w:rPr>
      </w:pPr>
      <w:r>
        <w:rPr>
          <w:rFonts w:cstheme="minorHAnsi"/>
          <w:smallCaps/>
          <w:color w:val="auto"/>
          <w:sz w:val="36"/>
          <w:szCs w:val="36"/>
        </w:rPr>
        <w:t>Brownedge St Mary’s Catholic High School</w:t>
      </w:r>
    </w:p>
    <w:p>
      <w:pPr>
        <w:jc w:val="both"/>
        <w:rPr>
          <w:rFonts w:cstheme="minorHAnsi"/>
          <w:smallCaps/>
          <w:color w:val="auto"/>
          <w:sz w:val="36"/>
          <w:szCs w:val="36"/>
        </w:rPr>
      </w:pPr>
      <w:r>
        <w:rPr>
          <w:rFonts w:cstheme="minorHAnsi"/>
          <w:smallCaps/>
          <w:color w:val="auto"/>
          <w:sz w:val="36"/>
          <w:szCs w:val="36"/>
        </w:rPr>
        <w:t>School Context</w:t>
      </w:r>
    </w:p>
    <w:p>
      <w:pPr>
        <w:spacing w:before="240" w:after="240" w:line="240" w:lineRule="auto"/>
        <w:jc w:val="both"/>
        <w:rPr>
          <w:color w:val="auto"/>
          <w:sz w:val="22"/>
          <w:szCs w:val="22"/>
        </w:rPr>
      </w:pPr>
      <w:r>
        <w:rPr>
          <w:color w:val="auto"/>
          <w:sz w:val="22"/>
          <w:szCs w:val="22"/>
        </w:rPr>
        <w:t xml:space="preserve">We are an 11-16 Mixed Catholic Voluntary Aided High School in Bamber Bridge in the Diocese of Salford. There are currently 746 pupils on roll, with 750 pupils our preferred capacity.  </w:t>
      </w:r>
    </w:p>
    <w:p>
      <w:pPr>
        <w:spacing w:before="240" w:after="240" w:line="240" w:lineRule="auto"/>
        <w:jc w:val="both"/>
        <w:rPr>
          <w:color w:val="auto"/>
          <w:sz w:val="22"/>
          <w:szCs w:val="22"/>
        </w:rPr>
      </w:pPr>
      <w:r>
        <w:rPr>
          <w:color w:val="auto"/>
          <w:sz w:val="22"/>
          <w:szCs w:val="22"/>
        </w:rPr>
        <w:t xml:space="preserve">The Mission Statement of Brownedge St Mary’s expresses our intention to ensure that all pupils are given the opportunity to fulfil their potential using their unique talents gifted to them by God. Our inclusive ethos and high aspirations for our pupils commits us to providing opportunities that allow all pupils to develop as independent, confident and successful learners who enjoy learning and make good progress. </w:t>
      </w:r>
    </w:p>
    <w:p>
      <w:pPr>
        <w:spacing w:before="240" w:after="240" w:line="240" w:lineRule="auto"/>
        <w:jc w:val="both"/>
        <w:rPr>
          <w:bCs/>
          <w:color w:val="auto"/>
          <w:sz w:val="22"/>
          <w:szCs w:val="22"/>
        </w:rPr>
      </w:pPr>
      <w:r>
        <w:rPr>
          <w:color w:val="auto"/>
          <w:sz w:val="22"/>
          <w:szCs w:val="22"/>
        </w:rPr>
        <w:t xml:space="preserve">Through our Mission, we develop pupils’ personal and moral values based on our Catholic ethos, teaching them respect for other cultures, religions and ways of life (including British Values) and ensuring that all know how to make a constructive contribution </w:t>
      </w:r>
      <w:r>
        <w:rPr>
          <w:bCs/>
          <w:color w:val="auto"/>
          <w:sz w:val="22"/>
          <w:szCs w:val="22"/>
        </w:rPr>
        <w:t xml:space="preserve">to the local, national and worldwide community. </w:t>
      </w:r>
    </w:p>
    <w:p>
      <w:pPr>
        <w:autoSpaceDE w:val="0"/>
        <w:autoSpaceDN w:val="0"/>
        <w:adjustRightInd w:val="0"/>
        <w:jc w:val="both"/>
        <w:rPr>
          <w:color w:val="auto"/>
          <w:sz w:val="22"/>
          <w:szCs w:val="22"/>
        </w:rPr>
      </w:pPr>
      <w:r>
        <w:rPr>
          <w:bCs/>
          <w:color w:val="auto"/>
          <w:sz w:val="22"/>
          <w:szCs w:val="22"/>
        </w:rPr>
        <w:t>Our curriculum is responsive to our local context and the profile of our cohort entry. Building on knowledge of pupils’ prior learning, we ensure that pupils are challenged from day one through new and engaging learning</w:t>
      </w:r>
      <w:r>
        <w:rPr>
          <w:color w:val="auto"/>
          <w:sz w:val="22"/>
          <w:szCs w:val="22"/>
        </w:rPr>
        <w:t xml:space="preserve">. We ensure that our broad and balanced curriculum, delivered by specialist staff, equips our learners to transition into appropriate progression routes and ensures that pupils gain secure knowledge, transferrable skills and values which will allow them to lead successful and fulfilling lives.  </w:t>
      </w:r>
    </w:p>
    <w:p>
      <w:pPr>
        <w:autoSpaceDE w:val="0"/>
        <w:autoSpaceDN w:val="0"/>
        <w:adjustRightInd w:val="0"/>
        <w:jc w:val="both"/>
        <w:rPr>
          <w:color w:val="auto"/>
          <w:sz w:val="22"/>
          <w:szCs w:val="22"/>
        </w:rPr>
      </w:pPr>
      <w:r>
        <w:rPr>
          <w:color w:val="auto"/>
          <w:sz w:val="22"/>
          <w:szCs w:val="22"/>
        </w:rPr>
        <w:t>Our curriculum has been designed and developed to ensure there is no cap on expectations and ambitions and meets the needs of different groups. It has been designed to be ambitious and to give all pupils, particularly disadvantaged pupils and pupils with SEND, the knowledge and cultural capital they need to succeed in life. We plan and sequence our learning such that all groups make good progress. Challenging concepts are revisited so that pupils can make sustained gains in new knowledge. In 2017 we adopted a Threshold Model, requiring all subjects to develop Progression Models to ensure that the curriculum is coherently planned and sequenced and that knowledge is acquired, remembered, built on and applied. We equip learners with the technical and subject-specific vocabulary to articulate precisely their learning, orally and in extended writing. We expect all learners to appreciate the value of reading widely for pleasure. All learners are engaged in an ambitious curriculum pathway, whether it be traditional EBacc, technical or vocational.  Work undertaken on our curriculum intent and implementation has had impact. The deepening knowledge is starting to impact positively on GCSE outcomes with increased A8 and significantly improved P8 scores in GCSE 2019. We are committed to continuous improvement.</w:t>
      </w:r>
    </w:p>
    <w:p>
      <w:pPr>
        <w:jc w:val="both"/>
        <w:rPr>
          <w:rFonts w:eastAsiaTheme="minorHAnsi"/>
          <w:color w:val="auto"/>
          <w:sz w:val="36"/>
          <w:szCs w:val="36"/>
        </w:rPr>
      </w:pPr>
      <w:bookmarkStart w:id="0" w:name="_Hlk11862018"/>
    </w:p>
    <w:bookmarkEnd w:id="0"/>
    <w:p>
      <w:pPr>
        <w:rPr>
          <w:rFonts w:cs="Arial"/>
          <w:b/>
          <w:color w:val="000000" w:themeColor="text1"/>
          <w:sz w:val="28"/>
          <w:szCs w:val="28"/>
        </w:rPr>
      </w:pPr>
      <w:r>
        <w:rPr>
          <w:rFonts w:cs="Arial"/>
          <w:b/>
          <w:color w:val="000000" w:themeColor="text1"/>
          <w:sz w:val="28"/>
          <w:szCs w:val="28"/>
        </w:rPr>
        <w:br w:type="page"/>
      </w:r>
    </w:p>
    <w:p>
      <w:pPr>
        <w:autoSpaceDE w:val="0"/>
        <w:autoSpaceDN w:val="0"/>
        <w:adjustRightInd w:val="0"/>
        <w:spacing w:after="0" w:line="240" w:lineRule="auto"/>
        <w:rPr>
          <w:rFonts w:ascii="Cambria" w:hAnsi="Cambria" w:cs="Cambria"/>
          <w:color w:val="17365D"/>
          <w:sz w:val="40"/>
          <w:szCs w:val="40"/>
        </w:rPr>
      </w:pPr>
      <w:r>
        <w:rPr>
          <w:b/>
          <w:szCs w:val="24"/>
          <w:u w:val="single"/>
        </w:rPr>
        <w:lastRenderedPageBreak/>
        <w:br/>
      </w:r>
    </w:p>
    <w:p>
      <w:pPr>
        <w:autoSpaceDE w:val="0"/>
        <w:autoSpaceDN w:val="0"/>
        <w:adjustRightInd w:val="0"/>
        <w:spacing w:after="0" w:line="240" w:lineRule="auto"/>
        <w:rPr>
          <w:rFonts w:cstheme="minorHAnsi"/>
          <w:smallCaps/>
          <w:color w:val="auto"/>
          <w:sz w:val="36"/>
          <w:szCs w:val="36"/>
        </w:rPr>
      </w:pPr>
      <w:r>
        <w:rPr>
          <w:rFonts w:cstheme="minorHAnsi"/>
          <w:smallCaps/>
          <w:color w:val="auto"/>
          <w:sz w:val="36"/>
          <w:szCs w:val="36"/>
        </w:rPr>
        <w:t>Mathematics Faculty Information</w:t>
      </w:r>
    </w:p>
    <w:p>
      <w:pPr>
        <w:shd w:val="clear" w:color="auto" w:fill="FFFFFF"/>
        <w:spacing w:after="0" w:line="240" w:lineRule="auto"/>
        <w:rPr>
          <w:rFonts w:ascii="Calibri" w:eastAsia="Times New Roman" w:hAnsi="Calibri" w:cs="Times New Roman"/>
          <w:color w:val="000000" w:themeColor="text1"/>
          <w:szCs w:val="24"/>
          <w:lang w:eastAsia="en-GB"/>
        </w:rPr>
      </w:pPr>
    </w:p>
    <w:p>
      <w:pPr>
        <w:shd w:val="clear" w:color="auto" w:fill="FFFFFF"/>
        <w:spacing w:after="0" w:line="240" w:lineRule="auto"/>
        <w:rPr>
          <w:rFonts w:ascii="Calibri" w:eastAsia="Times New Roman" w:hAnsi="Calibri" w:cs="Times New Roman"/>
          <w:color w:val="000000" w:themeColor="text1"/>
          <w:szCs w:val="24"/>
          <w:lang w:eastAsia="en-GB"/>
        </w:rPr>
      </w:pPr>
    </w:p>
    <w:p>
      <w:pPr>
        <w:shd w:val="clear" w:color="auto" w:fill="FFFFFF"/>
        <w:spacing w:after="0" w:line="240" w:lineRule="auto"/>
        <w:jc w:val="both"/>
        <w:rPr>
          <w:color w:val="auto"/>
          <w:sz w:val="22"/>
          <w:szCs w:val="22"/>
        </w:rPr>
      </w:pPr>
      <w:r>
        <w:rPr>
          <w:color w:val="auto"/>
          <w:sz w:val="22"/>
          <w:szCs w:val="22"/>
        </w:rPr>
        <w:t>The Mathematics course at Brownedge St Mary's has been designed to enable our pupils to be:</w:t>
      </w:r>
    </w:p>
    <w:p>
      <w:pPr>
        <w:pStyle w:val="ListParagraph"/>
        <w:numPr>
          <w:ilvl w:val="0"/>
          <w:numId w:val="49"/>
        </w:numPr>
        <w:shd w:val="clear" w:color="auto" w:fill="FFFFFF"/>
        <w:spacing w:before="100" w:beforeAutospacing="1" w:after="100" w:afterAutospacing="1"/>
        <w:jc w:val="both"/>
        <w:rPr>
          <w:rFonts w:asciiTheme="minorHAnsi" w:eastAsiaTheme="minorEastAsia" w:hAnsiTheme="minorHAnsi" w:cstheme="minorBidi"/>
          <w:sz w:val="22"/>
          <w:szCs w:val="22"/>
          <w:lang w:eastAsia="ja-JP"/>
        </w:rPr>
      </w:pPr>
      <w:r>
        <w:rPr>
          <w:rFonts w:asciiTheme="minorHAnsi" w:eastAsiaTheme="minorEastAsia" w:hAnsiTheme="minorHAnsi" w:cstheme="minorBidi"/>
          <w:sz w:val="22"/>
          <w:szCs w:val="22"/>
          <w:lang w:eastAsia="ja-JP"/>
        </w:rPr>
        <w:t>fluent in recalling and applying key skills</w:t>
      </w:r>
    </w:p>
    <w:p>
      <w:pPr>
        <w:pStyle w:val="ListParagraph"/>
        <w:numPr>
          <w:ilvl w:val="0"/>
          <w:numId w:val="49"/>
        </w:numPr>
        <w:shd w:val="clear" w:color="auto" w:fill="FFFFFF"/>
        <w:spacing w:before="100" w:beforeAutospacing="1" w:after="100" w:afterAutospacing="1"/>
        <w:jc w:val="both"/>
        <w:rPr>
          <w:rFonts w:asciiTheme="minorHAnsi" w:eastAsiaTheme="minorEastAsia" w:hAnsiTheme="minorHAnsi" w:cstheme="minorBidi"/>
          <w:sz w:val="22"/>
          <w:szCs w:val="22"/>
          <w:lang w:eastAsia="ja-JP"/>
        </w:rPr>
      </w:pPr>
      <w:r>
        <w:rPr>
          <w:rFonts w:asciiTheme="minorHAnsi" w:eastAsiaTheme="minorEastAsia" w:hAnsiTheme="minorHAnsi" w:cstheme="minorBidi"/>
          <w:sz w:val="22"/>
          <w:szCs w:val="22"/>
          <w:lang w:eastAsia="ja-JP"/>
        </w:rPr>
        <w:t>able to argue and reason mathematically</w:t>
      </w:r>
    </w:p>
    <w:p>
      <w:pPr>
        <w:pStyle w:val="ListParagraph"/>
        <w:numPr>
          <w:ilvl w:val="0"/>
          <w:numId w:val="49"/>
        </w:numPr>
        <w:shd w:val="clear" w:color="auto" w:fill="FFFFFF"/>
        <w:spacing w:before="100" w:beforeAutospacing="1" w:after="100" w:afterAutospacing="1"/>
        <w:jc w:val="both"/>
        <w:rPr>
          <w:rFonts w:asciiTheme="minorHAnsi" w:eastAsiaTheme="minorEastAsia" w:hAnsiTheme="minorHAnsi" w:cstheme="minorBidi"/>
          <w:sz w:val="22"/>
          <w:szCs w:val="22"/>
          <w:lang w:eastAsia="ja-JP"/>
        </w:rPr>
      </w:pPr>
      <w:r>
        <w:rPr>
          <w:rFonts w:asciiTheme="minorHAnsi" w:eastAsiaTheme="minorEastAsia" w:hAnsiTheme="minorHAnsi" w:cstheme="minorBidi"/>
          <w:sz w:val="22"/>
          <w:szCs w:val="22"/>
          <w:lang w:eastAsia="ja-JP"/>
        </w:rPr>
        <w:t>able to apply their acquired knowledge to problem solve</w:t>
      </w:r>
    </w:p>
    <w:p>
      <w:pPr>
        <w:spacing w:after="0" w:line="240" w:lineRule="auto"/>
        <w:jc w:val="both"/>
        <w:rPr>
          <w:color w:val="auto"/>
          <w:sz w:val="22"/>
          <w:szCs w:val="22"/>
        </w:rPr>
      </w:pPr>
      <w:r>
        <w:rPr>
          <w:color w:val="auto"/>
          <w:sz w:val="22"/>
          <w:szCs w:val="22"/>
        </w:rPr>
        <w:t>We want our young people to leave school as numerate individuals who are confident at facing challenge and thinking logically in order to solve problems.</w:t>
      </w:r>
    </w:p>
    <w:p>
      <w:pPr>
        <w:spacing w:after="0" w:line="240" w:lineRule="auto"/>
        <w:jc w:val="both"/>
        <w:rPr>
          <w:color w:val="auto"/>
          <w:sz w:val="22"/>
          <w:szCs w:val="22"/>
        </w:rPr>
      </w:pPr>
    </w:p>
    <w:p>
      <w:pPr>
        <w:jc w:val="both"/>
        <w:rPr>
          <w:color w:val="auto"/>
          <w:sz w:val="22"/>
          <w:szCs w:val="22"/>
        </w:rPr>
      </w:pPr>
      <w:r>
        <w:rPr>
          <w:color w:val="auto"/>
          <w:sz w:val="22"/>
          <w:szCs w:val="22"/>
        </w:rPr>
        <w:t>We believe in the unique strengths and individual talents of all our pupils and as such offer full access to the curriculum for all. We offer an open and welcoming environment where pupils have the freedom to express their ideas and feel comfortable in making mistakes until they master a new concept. We want our pupils to enjoy their math’s lessons and love to see those light bulb moments when pupils are able to make connections in order to solve problems.</w:t>
      </w:r>
    </w:p>
    <w:p>
      <w:pPr>
        <w:jc w:val="both"/>
        <w:rPr>
          <w:color w:val="auto"/>
          <w:sz w:val="22"/>
          <w:szCs w:val="22"/>
        </w:rPr>
      </w:pPr>
      <w:r>
        <w:rPr>
          <w:color w:val="auto"/>
          <w:sz w:val="22"/>
          <w:szCs w:val="22"/>
        </w:rPr>
        <w:t xml:space="preserve">The Math’s Faculty is a professional, dedicated and supportive team consisting of a Head of Department, Second in Math’s and a further 4 math’s teachers. We are a well- resourced department, with 6 specialist teaching classrooms all equipped with a projector and write on whiteboards. We currently use </w:t>
      </w:r>
      <w:proofErr w:type="spellStart"/>
      <w:r>
        <w:rPr>
          <w:color w:val="auto"/>
          <w:sz w:val="22"/>
          <w:szCs w:val="22"/>
        </w:rPr>
        <w:t>Maths</w:t>
      </w:r>
      <w:proofErr w:type="spellEnd"/>
      <w:r>
        <w:rPr>
          <w:color w:val="auto"/>
          <w:sz w:val="22"/>
          <w:szCs w:val="22"/>
        </w:rPr>
        <w:t xml:space="preserve"> Watch as a support mechanism for out of hours study.</w:t>
      </w:r>
    </w:p>
    <w:p>
      <w:pPr>
        <w:jc w:val="both"/>
        <w:rPr>
          <w:color w:val="auto"/>
          <w:sz w:val="22"/>
          <w:szCs w:val="22"/>
        </w:rPr>
      </w:pPr>
      <w:r>
        <w:rPr>
          <w:color w:val="auto"/>
          <w:sz w:val="22"/>
          <w:szCs w:val="22"/>
        </w:rPr>
        <w:t>We have an excellent team ethos and are constantly striving to improve the outcomes for all our pupils. We have worked to establish an environment of welcome in which all pupils have the freedom to express their Mathematical ideas and discuss misconceptions until they master a new concept.</w:t>
      </w:r>
    </w:p>
    <w:p>
      <w:pPr>
        <w:jc w:val="both"/>
        <w:rPr>
          <w:color w:val="auto"/>
          <w:sz w:val="22"/>
          <w:szCs w:val="22"/>
        </w:rPr>
      </w:pPr>
      <w:r>
        <w:rPr>
          <w:color w:val="auto"/>
          <w:sz w:val="22"/>
          <w:szCs w:val="22"/>
        </w:rPr>
        <w:t xml:space="preserve">Our students follow a </w:t>
      </w:r>
      <w:proofErr w:type="gramStart"/>
      <w:r>
        <w:rPr>
          <w:color w:val="auto"/>
          <w:sz w:val="22"/>
          <w:szCs w:val="22"/>
        </w:rPr>
        <w:t>5 year</w:t>
      </w:r>
      <w:proofErr w:type="gramEnd"/>
      <w:r>
        <w:rPr>
          <w:color w:val="auto"/>
          <w:sz w:val="22"/>
          <w:szCs w:val="22"/>
        </w:rPr>
        <w:t xml:space="preserve"> scheme of work that ensures a smooth and challenging transition from KS2. During their GCSE years, pupils follow the OCR Linear course for the new GCSE 9-1. </w:t>
      </w:r>
    </w:p>
    <w:p>
      <w:pPr>
        <w:jc w:val="center"/>
        <w:rPr>
          <w:color w:val="auto"/>
          <w:sz w:val="22"/>
          <w:szCs w:val="22"/>
        </w:rPr>
      </w:pPr>
      <w:r>
        <w:rPr>
          <w:color w:val="auto"/>
          <w:sz w:val="22"/>
          <w:szCs w:val="22"/>
        </w:rPr>
        <w:t>Examination Results 2022:</w:t>
      </w:r>
    </w:p>
    <w:tbl>
      <w:tblPr>
        <w:tblStyle w:val="TableGrid"/>
        <w:tblW w:w="0" w:type="auto"/>
        <w:tblLook w:val="04A0" w:firstRow="1" w:lastRow="0" w:firstColumn="1" w:lastColumn="0" w:noHBand="0" w:noVBand="1"/>
      </w:tblPr>
      <w:tblGrid>
        <w:gridCol w:w="4508"/>
        <w:gridCol w:w="4508"/>
      </w:tblGrid>
      <w:tr>
        <w:tc>
          <w:tcPr>
            <w:tcW w:w="4508" w:type="dxa"/>
          </w:tcPr>
          <w:p>
            <w:pPr>
              <w:jc w:val="both"/>
              <w:rPr>
                <w:color w:val="auto"/>
                <w:sz w:val="22"/>
                <w:szCs w:val="22"/>
              </w:rPr>
            </w:pPr>
            <w:proofErr w:type="spellStart"/>
            <w:r>
              <w:rPr>
                <w:color w:val="auto"/>
                <w:sz w:val="22"/>
                <w:szCs w:val="22"/>
              </w:rPr>
              <w:t>Maths</w:t>
            </w:r>
            <w:proofErr w:type="spellEnd"/>
            <w:r>
              <w:rPr>
                <w:color w:val="auto"/>
                <w:sz w:val="22"/>
                <w:szCs w:val="22"/>
              </w:rPr>
              <w:t xml:space="preserve"> Grade 9 - 4</w:t>
            </w:r>
          </w:p>
        </w:tc>
        <w:tc>
          <w:tcPr>
            <w:tcW w:w="4508" w:type="dxa"/>
          </w:tcPr>
          <w:p>
            <w:pPr>
              <w:jc w:val="both"/>
              <w:rPr>
                <w:color w:val="auto"/>
                <w:sz w:val="22"/>
                <w:szCs w:val="22"/>
              </w:rPr>
            </w:pPr>
            <w:r>
              <w:rPr>
                <w:color w:val="auto"/>
                <w:sz w:val="22"/>
                <w:szCs w:val="22"/>
              </w:rPr>
              <w:t>66%</w:t>
            </w:r>
          </w:p>
        </w:tc>
      </w:tr>
      <w:tr>
        <w:tc>
          <w:tcPr>
            <w:tcW w:w="4508" w:type="dxa"/>
          </w:tcPr>
          <w:p>
            <w:pPr>
              <w:jc w:val="both"/>
              <w:rPr>
                <w:color w:val="auto"/>
                <w:sz w:val="22"/>
                <w:szCs w:val="22"/>
              </w:rPr>
            </w:pPr>
            <w:proofErr w:type="spellStart"/>
            <w:r>
              <w:rPr>
                <w:color w:val="auto"/>
                <w:sz w:val="22"/>
                <w:szCs w:val="22"/>
              </w:rPr>
              <w:t>Maths</w:t>
            </w:r>
            <w:proofErr w:type="spellEnd"/>
            <w:r>
              <w:rPr>
                <w:color w:val="auto"/>
                <w:sz w:val="22"/>
                <w:szCs w:val="22"/>
              </w:rPr>
              <w:t xml:space="preserve"> Grade 9 - 5</w:t>
            </w:r>
          </w:p>
        </w:tc>
        <w:tc>
          <w:tcPr>
            <w:tcW w:w="4508" w:type="dxa"/>
          </w:tcPr>
          <w:p>
            <w:pPr>
              <w:jc w:val="both"/>
              <w:rPr>
                <w:color w:val="auto"/>
                <w:sz w:val="22"/>
                <w:szCs w:val="22"/>
              </w:rPr>
            </w:pPr>
            <w:r>
              <w:rPr>
                <w:color w:val="auto"/>
                <w:sz w:val="22"/>
                <w:szCs w:val="22"/>
              </w:rPr>
              <w:t>46%</w:t>
            </w:r>
          </w:p>
        </w:tc>
      </w:tr>
      <w:tr>
        <w:tc>
          <w:tcPr>
            <w:tcW w:w="4508" w:type="dxa"/>
          </w:tcPr>
          <w:p>
            <w:pPr>
              <w:jc w:val="both"/>
              <w:rPr>
                <w:color w:val="auto"/>
                <w:sz w:val="22"/>
                <w:szCs w:val="22"/>
              </w:rPr>
            </w:pPr>
            <w:proofErr w:type="spellStart"/>
            <w:r>
              <w:rPr>
                <w:color w:val="auto"/>
                <w:sz w:val="22"/>
                <w:szCs w:val="22"/>
              </w:rPr>
              <w:t>Maths</w:t>
            </w:r>
            <w:proofErr w:type="spellEnd"/>
            <w:r>
              <w:rPr>
                <w:color w:val="auto"/>
                <w:sz w:val="22"/>
                <w:szCs w:val="22"/>
              </w:rPr>
              <w:t xml:space="preserve"> Grade 9 -7</w:t>
            </w:r>
          </w:p>
        </w:tc>
        <w:tc>
          <w:tcPr>
            <w:tcW w:w="4508" w:type="dxa"/>
          </w:tcPr>
          <w:p>
            <w:pPr>
              <w:jc w:val="both"/>
              <w:rPr>
                <w:color w:val="auto"/>
                <w:sz w:val="22"/>
                <w:szCs w:val="22"/>
              </w:rPr>
            </w:pPr>
            <w:r>
              <w:rPr>
                <w:color w:val="auto"/>
                <w:sz w:val="22"/>
                <w:szCs w:val="22"/>
              </w:rPr>
              <w:t>12%</w:t>
            </w:r>
          </w:p>
        </w:tc>
      </w:tr>
    </w:tbl>
    <w:p>
      <w:pPr>
        <w:jc w:val="both"/>
        <w:rPr>
          <w:color w:val="auto"/>
          <w:sz w:val="22"/>
          <w:szCs w:val="22"/>
        </w:rPr>
      </w:pPr>
    </w:p>
    <w:p>
      <w:pPr>
        <w:jc w:val="both"/>
        <w:rPr>
          <w:color w:val="auto"/>
          <w:sz w:val="22"/>
          <w:szCs w:val="22"/>
        </w:rPr>
      </w:pPr>
      <w:r>
        <w:rPr>
          <w:color w:val="auto"/>
          <w:sz w:val="22"/>
          <w:szCs w:val="22"/>
        </w:rPr>
        <w:t xml:space="preserve">We are seeking to appoint a Teacher of Mathematics who can commit to our school ethos and high standards. The successful candidate will have a passion for Mathematics and be able contribute to the development of our curriculum.  </w:t>
      </w:r>
    </w:p>
    <w:p>
      <w:pPr>
        <w:jc w:val="both"/>
        <w:rPr>
          <w:rFonts w:ascii="Franklin Gothic Book" w:hAnsi="Franklin Gothic Book"/>
          <w:szCs w:val="24"/>
        </w:rPr>
      </w:pPr>
    </w:p>
    <w:p>
      <w:pPr>
        <w:spacing w:after="60" w:line="240" w:lineRule="auto"/>
        <w:jc w:val="center"/>
        <w:rPr>
          <w:rFonts w:cs="Arial"/>
          <w:b/>
          <w:color w:val="000000" w:themeColor="text1"/>
          <w:sz w:val="28"/>
          <w:szCs w:val="28"/>
        </w:rPr>
      </w:pPr>
    </w:p>
    <w:p>
      <w:pPr>
        <w:spacing w:after="60" w:line="240" w:lineRule="auto"/>
        <w:jc w:val="center"/>
        <w:rPr>
          <w:rFonts w:cs="Arial"/>
          <w:b/>
          <w:color w:val="000000" w:themeColor="text1"/>
          <w:sz w:val="28"/>
          <w:szCs w:val="28"/>
        </w:rPr>
      </w:pPr>
    </w:p>
    <w:p>
      <w:pPr>
        <w:spacing w:after="60" w:line="240" w:lineRule="auto"/>
        <w:jc w:val="center"/>
        <w:rPr>
          <w:rFonts w:cs="Arial"/>
          <w:b/>
          <w:color w:val="000000" w:themeColor="text1"/>
          <w:sz w:val="28"/>
          <w:szCs w:val="28"/>
        </w:rPr>
      </w:pPr>
    </w:p>
    <w:p>
      <w:pPr>
        <w:spacing w:after="60" w:line="240" w:lineRule="auto"/>
        <w:jc w:val="center"/>
        <w:rPr>
          <w:rFonts w:cs="Arial"/>
          <w:b/>
          <w:color w:val="000000" w:themeColor="text1"/>
          <w:sz w:val="28"/>
          <w:szCs w:val="28"/>
        </w:rPr>
      </w:pPr>
    </w:p>
    <w:p>
      <w:pPr>
        <w:rPr>
          <w:rFonts w:cs="Arial"/>
          <w:b/>
          <w:color w:val="000000" w:themeColor="text1"/>
          <w:sz w:val="28"/>
          <w:szCs w:val="28"/>
        </w:rPr>
      </w:pPr>
      <w:r>
        <w:rPr>
          <w:rFonts w:cs="Arial"/>
          <w:b/>
          <w:color w:val="000000" w:themeColor="text1"/>
          <w:sz w:val="28"/>
          <w:szCs w:val="28"/>
        </w:rPr>
        <w:br w:type="page"/>
      </w:r>
    </w:p>
    <w:p>
      <w:pPr>
        <w:spacing w:after="60" w:line="240" w:lineRule="auto"/>
        <w:jc w:val="center"/>
        <w:rPr>
          <w:rFonts w:cs="Arial"/>
          <w:b/>
          <w:color w:val="000000" w:themeColor="text1"/>
          <w:sz w:val="28"/>
          <w:szCs w:val="28"/>
        </w:rPr>
      </w:pPr>
      <w:r>
        <w:rPr>
          <w:rFonts w:cs="Arial"/>
          <w:b/>
          <w:color w:val="000000" w:themeColor="text1"/>
          <w:sz w:val="28"/>
          <w:szCs w:val="28"/>
        </w:rPr>
        <w:lastRenderedPageBreak/>
        <w:t>Job Description</w:t>
      </w:r>
    </w:p>
    <w:p>
      <w:pPr>
        <w:spacing w:after="0"/>
        <w:jc w:val="center"/>
        <w:rPr>
          <w:rFonts w:cstheme="minorHAnsi"/>
          <w:b/>
          <w:color w:val="C00000"/>
          <w:sz w:val="36"/>
          <w:szCs w:val="36"/>
        </w:rPr>
      </w:pPr>
      <w:r>
        <w:rPr>
          <w:rFonts w:cstheme="minorHAnsi"/>
          <w:b/>
          <w:color w:val="C00000"/>
          <w:sz w:val="36"/>
          <w:szCs w:val="36"/>
        </w:rPr>
        <w:t>Temporary Teacher of Mathematics</w:t>
      </w:r>
    </w:p>
    <w:p>
      <w:pPr>
        <w:spacing w:after="0"/>
        <w:jc w:val="center"/>
        <w:rPr>
          <w:rFonts w:cstheme="minorHAnsi"/>
          <w:b/>
          <w:color w:val="C00000"/>
          <w:sz w:val="36"/>
          <w:szCs w:val="36"/>
        </w:rPr>
      </w:pPr>
      <w:r>
        <w:rPr>
          <w:rFonts w:cstheme="minorHAnsi"/>
          <w:b/>
          <w:color w:val="C00000"/>
          <w:sz w:val="36"/>
          <w:szCs w:val="36"/>
        </w:rPr>
        <w:t>Brownedge St Mary`s Catholic High School</w:t>
      </w:r>
    </w:p>
    <w:p/>
    <w:p>
      <w:pPr>
        <w:spacing w:after="0" w:line="240" w:lineRule="auto"/>
        <w:jc w:val="both"/>
        <w:rPr>
          <w:b/>
          <w:sz w:val="22"/>
          <w:szCs w:val="22"/>
        </w:rPr>
      </w:pPr>
      <w:r>
        <w:rPr>
          <w:sz w:val="22"/>
          <w:szCs w:val="22"/>
        </w:rPr>
        <w:t xml:space="preserve">To discharge the professional duties of teachers as described in the latest Pay and Conditions of Service document for Teachers in relation to:  </w:t>
      </w:r>
      <w:r>
        <w:rPr>
          <w:b/>
          <w:sz w:val="22"/>
          <w:szCs w:val="22"/>
        </w:rPr>
        <w:t>Teaching, Assessments, Reports, Appraisal, Educational Methods, Discipline, Health and Safety, Cover, Public Examinations, Management, Administration and Other Activities.</w:t>
      </w:r>
    </w:p>
    <w:p>
      <w:pPr>
        <w:spacing w:after="0" w:line="240" w:lineRule="auto"/>
        <w:jc w:val="both"/>
        <w:rPr>
          <w:b/>
          <w:sz w:val="22"/>
          <w:szCs w:val="22"/>
        </w:rPr>
      </w:pPr>
    </w:p>
    <w:p>
      <w:pPr>
        <w:spacing w:after="0" w:line="240" w:lineRule="auto"/>
        <w:jc w:val="both"/>
        <w:rPr>
          <w:color w:val="auto"/>
          <w:sz w:val="22"/>
          <w:szCs w:val="22"/>
        </w:rPr>
      </w:pPr>
      <w:r>
        <w:rPr>
          <w:color w:val="auto"/>
          <w:sz w:val="22"/>
          <w:szCs w:val="22"/>
        </w:rPr>
        <w:t>To discharge the professional duties of Assistant Headteachers as described in the latest Pay and Conditions of Service document for Teachers.</w:t>
      </w:r>
    </w:p>
    <w:p>
      <w:pPr>
        <w:spacing w:after="0" w:line="240" w:lineRule="auto"/>
        <w:jc w:val="both"/>
        <w:rPr>
          <w:b/>
          <w:color w:val="auto"/>
          <w:sz w:val="22"/>
          <w:szCs w:val="22"/>
        </w:rPr>
      </w:pPr>
    </w:p>
    <w:p>
      <w:pPr>
        <w:spacing w:after="0" w:line="240" w:lineRule="auto"/>
        <w:jc w:val="both"/>
        <w:rPr>
          <w:color w:val="auto"/>
          <w:sz w:val="22"/>
          <w:szCs w:val="22"/>
        </w:rPr>
      </w:pPr>
      <w:r>
        <w:rPr>
          <w:color w:val="auto"/>
          <w:sz w:val="22"/>
          <w:szCs w:val="22"/>
        </w:rPr>
        <w:t>In addition to discharge those duties in keeping with the CES contract of employment and the stated Mission of the School:</w:t>
      </w:r>
    </w:p>
    <w:p>
      <w:pPr>
        <w:spacing w:after="0" w:line="240" w:lineRule="auto"/>
        <w:ind w:right="-313"/>
        <w:rPr>
          <w:rFonts w:cs="Arial"/>
          <w:b/>
          <w:sz w:val="22"/>
          <w:szCs w:val="22"/>
        </w:rPr>
      </w:pP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7033"/>
      </w:tblGrid>
      <w:tr>
        <w:trPr>
          <w:trHeight w:val="36"/>
        </w:trPr>
        <w:tc>
          <w:tcPr>
            <w:tcW w:w="3327" w:type="dxa"/>
            <w:vAlign w:val="center"/>
          </w:tcPr>
          <w:p>
            <w:pPr>
              <w:pStyle w:val="Heading1"/>
              <w:spacing w:before="60" w:after="60" w:line="240" w:lineRule="auto"/>
              <w:rPr>
                <w:rStyle w:val="IntenseEmphasis"/>
                <w:color w:val="auto"/>
                <w:sz w:val="22"/>
                <w:szCs w:val="22"/>
              </w:rPr>
            </w:pPr>
            <w:r>
              <w:rPr>
                <w:rStyle w:val="IntenseEmphasis"/>
                <w:color w:val="auto"/>
                <w:sz w:val="22"/>
                <w:szCs w:val="22"/>
              </w:rPr>
              <w:t>Post title:</w:t>
            </w:r>
          </w:p>
        </w:tc>
        <w:tc>
          <w:tcPr>
            <w:tcW w:w="7033" w:type="dxa"/>
            <w:vAlign w:val="center"/>
          </w:tcPr>
          <w:p>
            <w:pPr>
              <w:spacing w:before="60" w:after="60" w:line="240" w:lineRule="auto"/>
              <w:rPr>
                <w:rFonts w:cs="Arial"/>
                <w:color w:val="auto"/>
                <w:sz w:val="22"/>
                <w:szCs w:val="22"/>
              </w:rPr>
            </w:pPr>
            <w:r>
              <w:rPr>
                <w:rFonts w:cs="Arial"/>
                <w:color w:val="auto"/>
                <w:sz w:val="22"/>
                <w:szCs w:val="22"/>
              </w:rPr>
              <w:t>Temporary Teacher of Mathematics</w:t>
            </w:r>
          </w:p>
        </w:tc>
      </w:tr>
      <w:tr>
        <w:trPr>
          <w:trHeight w:val="142"/>
        </w:trPr>
        <w:tc>
          <w:tcPr>
            <w:tcW w:w="3327" w:type="dxa"/>
            <w:vAlign w:val="center"/>
          </w:tcPr>
          <w:p>
            <w:pPr>
              <w:pStyle w:val="Heading1"/>
              <w:spacing w:before="60" w:after="60" w:line="240" w:lineRule="auto"/>
              <w:rPr>
                <w:rStyle w:val="IntenseEmphasis"/>
                <w:color w:val="auto"/>
                <w:sz w:val="22"/>
                <w:szCs w:val="22"/>
              </w:rPr>
            </w:pPr>
            <w:r>
              <w:rPr>
                <w:rStyle w:val="IntenseEmphasis"/>
                <w:color w:val="auto"/>
                <w:sz w:val="22"/>
                <w:szCs w:val="22"/>
              </w:rPr>
              <w:t>Salary/Grade:</w:t>
            </w:r>
          </w:p>
        </w:tc>
        <w:tc>
          <w:tcPr>
            <w:tcW w:w="7033" w:type="dxa"/>
            <w:vAlign w:val="center"/>
          </w:tcPr>
          <w:p>
            <w:pPr>
              <w:spacing w:before="60" w:after="60" w:line="240" w:lineRule="auto"/>
              <w:rPr>
                <w:rFonts w:cstheme="minorHAnsi"/>
                <w:b/>
                <w:sz w:val="36"/>
                <w:szCs w:val="36"/>
              </w:rPr>
            </w:pPr>
            <w:r>
              <w:rPr>
                <w:rFonts w:cs="Arial"/>
                <w:color w:val="auto"/>
                <w:sz w:val="22"/>
                <w:szCs w:val="22"/>
              </w:rPr>
              <w:t>MPS</w:t>
            </w:r>
          </w:p>
        </w:tc>
      </w:tr>
      <w:tr>
        <w:trPr>
          <w:trHeight w:val="151"/>
        </w:trPr>
        <w:tc>
          <w:tcPr>
            <w:tcW w:w="3327" w:type="dxa"/>
            <w:vAlign w:val="center"/>
          </w:tcPr>
          <w:p>
            <w:pPr>
              <w:pStyle w:val="Heading1"/>
              <w:spacing w:before="60" w:after="60" w:line="240" w:lineRule="auto"/>
              <w:rPr>
                <w:rStyle w:val="IntenseEmphasis"/>
                <w:color w:val="auto"/>
                <w:sz w:val="22"/>
                <w:szCs w:val="22"/>
              </w:rPr>
            </w:pPr>
            <w:r>
              <w:rPr>
                <w:rStyle w:val="IntenseEmphasis"/>
                <w:color w:val="auto"/>
                <w:sz w:val="22"/>
                <w:szCs w:val="22"/>
              </w:rPr>
              <w:t>Responsible to:</w:t>
            </w:r>
          </w:p>
        </w:tc>
        <w:tc>
          <w:tcPr>
            <w:tcW w:w="7033" w:type="dxa"/>
            <w:vAlign w:val="center"/>
          </w:tcPr>
          <w:p>
            <w:pPr>
              <w:jc w:val="both"/>
              <w:rPr>
                <w:rFonts w:cs="Arial"/>
                <w:sz w:val="22"/>
                <w:szCs w:val="22"/>
              </w:rPr>
            </w:pPr>
            <w:r>
              <w:rPr>
                <w:rFonts w:cs="Arial"/>
                <w:sz w:val="22"/>
                <w:szCs w:val="22"/>
              </w:rPr>
              <w:t xml:space="preserve">Head of Subject, the Head Teacher, members of the Senior Leadership Team (SLT) and the Governing Body. </w:t>
            </w:r>
          </w:p>
        </w:tc>
      </w:tr>
      <w:tr>
        <w:trPr>
          <w:trHeight w:val="142"/>
        </w:trPr>
        <w:tc>
          <w:tcPr>
            <w:tcW w:w="3327" w:type="dxa"/>
            <w:vAlign w:val="center"/>
          </w:tcPr>
          <w:p>
            <w:pPr>
              <w:pStyle w:val="Heading1"/>
              <w:spacing w:before="60" w:after="60" w:line="240" w:lineRule="auto"/>
              <w:rPr>
                <w:b/>
                <w:bCs/>
                <w:i/>
                <w:iCs/>
                <w:color w:val="auto"/>
                <w:sz w:val="22"/>
                <w:szCs w:val="22"/>
              </w:rPr>
            </w:pPr>
            <w:r>
              <w:rPr>
                <w:rStyle w:val="IntenseEmphasis"/>
                <w:color w:val="auto"/>
                <w:sz w:val="22"/>
                <w:szCs w:val="22"/>
              </w:rPr>
              <w:t>Supervisory responsibility:</w:t>
            </w:r>
          </w:p>
        </w:tc>
        <w:tc>
          <w:tcPr>
            <w:tcW w:w="7033" w:type="dxa"/>
            <w:vAlign w:val="center"/>
          </w:tcPr>
          <w:p>
            <w:pPr>
              <w:jc w:val="both"/>
              <w:rPr>
                <w:rFonts w:cs="Arial"/>
                <w:sz w:val="22"/>
                <w:szCs w:val="22"/>
              </w:rPr>
            </w:pPr>
            <w:r>
              <w:rPr>
                <w:rFonts w:cs="Arial"/>
                <w:sz w:val="22"/>
                <w:szCs w:val="22"/>
              </w:rPr>
              <w:t>The post holder may be responsible for the deployment and supervision of the work of teaching assistants relevant to their responsibilities.</w:t>
            </w:r>
          </w:p>
        </w:tc>
      </w:tr>
    </w:tbl>
    <w:tbl>
      <w:tblPr>
        <w:tblpPr w:leftFromText="180" w:rightFromText="180" w:vertAnchor="text" w:horzAnchor="margin" w:tblpY="120"/>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8767"/>
      </w:tblGrid>
      <w:tr>
        <w:tc>
          <w:tcPr>
            <w:tcW w:w="1678" w:type="dxa"/>
            <w:vAlign w:val="center"/>
          </w:tcPr>
          <w:p>
            <w:pPr>
              <w:jc w:val="center"/>
              <w:rPr>
                <w:b/>
                <w:color w:val="auto"/>
                <w:sz w:val="22"/>
                <w:szCs w:val="22"/>
              </w:rPr>
            </w:pPr>
            <w:r>
              <w:rPr>
                <w:b/>
                <w:color w:val="auto"/>
                <w:sz w:val="22"/>
                <w:szCs w:val="22"/>
              </w:rPr>
              <w:t>Job Purpose</w:t>
            </w:r>
          </w:p>
        </w:tc>
        <w:tc>
          <w:tcPr>
            <w:tcW w:w="8767" w:type="dxa"/>
          </w:tcPr>
          <w:p>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 xml:space="preserve">Be responsible for the learning and achievement of all pupils in their classes ensuring equality of opportunity for all. </w:t>
            </w:r>
          </w:p>
          <w:p>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Be responsible and accountable for achieving the highest possible standards in work and conduct.</w:t>
            </w:r>
          </w:p>
          <w:p>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Treat pupils with dignity and respect and act with honesty and integrity, building relationships rooted in mutual respect.</w:t>
            </w:r>
          </w:p>
          <w:p>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 xml:space="preserve">Contribute to pupils’ moral, cultural, spiritual and citizenship development. </w:t>
            </w:r>
          </w:p>
          <w:p>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Work proactively and effectively in collaboration and partnership with learners, parents/carers, governors, other staff and external agencies in the best interests of their pupils.</w:t>
            </w:r>
          </w:p>
          <w:p>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Act within, the statutory frameworks, which set out their professional duties and responsibilities and in line with the duties outlined in the current School Teachers Pay and Conditions Document and Teacher Standards (2013) and to discharge those duties in keeping with the Catholic Education Service (CES) contract of employment and the stated Mission of the School.</w:t>
            </w:r>
          </w:p>
          <w:p>
            <w:pPr>
              <w:numPr>
                <w:ilvl w:val="0"/>
                <w:numId w:val="40"/>
              </w:numPr>
              <w:tabs>
                <w:tab w:val="clear" w:pos="927"/>
                <w:tab w:val="num" w:pos="720"/>
              </w:tabs>
              <w:spacing w:after="0" w:line="240" w:lineRule="auto"/>
              <w:ind w:left="720" w:hanging="357"/>
              <w:jc w:val="both"/>
              <w:rPr>
                <w:rFonts w:cs="Arial"/>
                <w:sz w:val="22"/>
                <w:szCs w:val="22"/>
              </w:rPr>
            </w:pPr>
            <w:r>
              <w:rPr>
                <w:rFonts w:cs="Arial"/>
                <w:sz w:val="22"/>
                <w:szCs w:val="22"/>
              </w:rPr>
              <w:t>Take responsibility for promoting and safeguarding the welfare of children and young people within the school.</w:t>
            </w:r>
          </w:p>
          <w:p>
            <w:pPr>
              <w:spacing w:after="0" w:line="240" w:lineRule="auto"/>
              <w:jc w:val="both"/>
              <w:rPr>
                <w:color w:val="auto"/>
                <w:sz w:val="22"/>
                <w:szCs w:val="22"/>
              </w:rPr>
            </w:pPr>
          </w:p>
        </w:tc>
      </w:tr>
      <w:tr>
        <w:trPr>
          <w:trHeight w:val="1313"/>
        </w:trPr>
        <w:tc>
          <w:tcPr>
            <w:tcW w:w="1678" w:type="dxa"/>
            <w:vAlign w:val="center"/>
          </w:tcPr>
          <w:p>
            <w:pPr>
              <w:jc w:val="center"/>
              <w:rPr>
                <w:b/>
                <w:color w:val="auto"/>
                <w:sz w:val="22"/>
                <w:szCs w:val="22"/>
              </w:rPr>
            </w:pPr>
            <w:r>
              <w:rPr>
                <w:b/>
                <w:color w:val="auto"/>
                <w:sz w:val="22"/>
                <w:szCs w:val="22"/>
              </w:rPr>
              <w:t>Duties and Responsibilities</w:t>
            </w:r>
          </w:p>
        </w:tc>
        <w:tc>
          <w:tcPr>
            <w:tcW w:w="8767" w:type="dxa"/>
          </w:tcPr>
          <w:p>
            <w:pPr>
              <w:jc w:val="both"/>
              <w:rPr>
                <w:rFonts w:cs="Arial"/>
                <w:sz w:val="22"/>
                <w:szCs w:val="22"/>
              </w:rPr>
            </w:pPr>
          </w:p>
          <w:p>
            <w:pPr>
              <w:jc w:val="both"/>
              <w:rPr>
                <w:rFonts w:ascii="Arial" w:hAnsi="Arial" w:cs="Arial"/>
                <w:color w:val="000000"/>
                <w:sz w:val="22"/>
                <w:szCs w:val="22"/>
              </w:rPr>
            </w:pPr>
            <w:r>
              <w:rPr>
                <w:rFonts w:cs="Arial"/>
                <w:sz w:val="22"/>
                <w:szCs w:val="22"/>
              </w:rPr>
              <w:t xml:space="preserve">All teachers are required to carry out the duties of a schoolteacher as set out in the current </w:t>
            </w:r>
            <w:hyperlink r:id="rId16" w:history="1">
              <w:r>
                <w:rPr>
                  <w:rStyle w:val="Hyperlink"/>
                  <w:rFonts w:cs="Arial"/>
                  <w:i/>
                  <w:iCs/>
                  <w:sz w:val="22"/>
                  <w:szCs w:val="22"/>
                </w:rPr>
                <w:t>School Teachers Pay and Conditions</w:t>
              </w:r>
              <w:r>
                <w:rPr>
                  <w:rStyle w:val="Hyperlink"/>
                  <w:rFonts w:cs="Arial"/>
                  <w:sz w:val="22"/>
                  <w:szCs w:val="22"/>
                </w:rPr>
                <w:t xml:space="preserve"> </w:t>
              </w:r>
              <w:r>
                <w:rPr>
                  <w:rStyle w:val="Hyperlink"/>
                  <w:rFonts w:cs="Arial"/>
                  <w:i/>
                  <w:iCs/>
                  <w:sz w:val="22"/>
                  <w:szCs w:val="22"/>
                </w:rPr>
                <w:t>Document</w:t>
              </w:r>
            </w:hyperlink>
            <w:r>
              <w:rPr>
                <w:rFonts w:cs="Arial"/>
                <w:i/>
                <w:iCs/>
                <w:sz w:val="22"/>
                <w:szCs w:val="22"/>
              </w:rPr>
              <w:t>.</w:t>
            </w:r>
            <w:r>
              <w:rPr>
                <w:rFonts w:cs="Arial"/>
                <w:sz w:val="22"/>
                <w:szCs w:val="22"/>
              </w:rPr>
              <w:t xml:space="preserve"> Teachers should also have due regard to the Teacher Standards (</w:t>
            </w:r>
            <w:r>
              <w:rPr>
                <w:rFonts w:cs="Arial"/>
                <w:color w:val="000000"/>
                <w:sz w:val="22"/>
                <w:szCs w:val="22"/>
              </w:rPr>
              <w:t xml:space="preserve">2013). Teachers’ performance will be assessed against the teacher </w:t>
            </w:r>
            <w:hyperlink r:id="rId17" w:tgtFrame="_blank" w:history="1">
              <w:r>
                <w:rPr>
                  <w:rStyle w:val="Hyperlink"/>
                  <w:rFonts w:cs="Arial"/>
                  <w:sz w:val="22"/>
                  <w:szCs w:val="22"/>
                </w:rPr>
                <w:t>standards</w:t>
              </w:r>
            </w:hyperlink>
            <w:r>
              <w:rPr>
                <w:rFonts w:cs="Arial"/>
                <w:color w:val="000000"/>
                <w:sz w:val="22"/>
                <w:szCs w:val="22"/>
              </w:rPr>
              <w:t xml:space="preserve"> as part of the appraisal process as relevant to their role in the school. </w:t>
            </w:r>
          </w:p>
          <w:p>
            <w:pPr>
              <w:jc w:val="both"/>
              <w:rPr>
                <w:color w:val="auto"/>
                <w:sz w:val="22"/>
                <w:szCs w:val="22"/>
              </w:rPr>
            </w:pPr>
          </w:p>
        </w:tc>
      </w:tr>
    </w:tbl>
    <w:p>
      <w:r>
        <w:br w:type="page"/>
      </w:r>
    </w:p>
    <w:tbl>
      <w:tblPr>
        <w:tblpPr w:leftFromText="180" w:rightFromText="180" w:vertAnchor="text" w:horzAnchor="margin" w:tblpY="120"/>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2"/>
        <w:gridCol w:w="8653"/>
      </w:tblGrid>
      <w:tr>
        <w:tc>
          <w:tcPr>
            <w:tcW w:w="1792" w:type="dxa"/>
            <w:vAlign w:val="center"/>
          </w:tcPr>
          <w:p>
            <w:pPr>
              <w:jc w:val="center"/>
              <w:rPr>
                <w:b/>
                <w:color w:val="auto"/>
                <w:sz w:val="22"/>
                <w:szCs w:val="22"/>
              </w:rPr>
            </w:pPr>
          </w:p>
          <w:p>
            <w:pPr>
              <w:jc w:val="center"/>
              <w:rPr>
                <w:b/>
                <w:color w:val="auto"/>
                <w:sz w:val="22"/>
                <w:szCs w:val="22"/>
              </w:rPr>
            </w:pPr>
            <w:r>
              <w:rPr>
                <w:b/>
                <w:color w:val="auto"/>
                <w:sz w:val="22"/>
                <w:szCs w:val="22"/>
              </w:rPr>
              <w:t>Teaching and Learning Responsibilities</w:t>
            </w:r>
          </w:p>
        </w:tc>
        <w:tc>
          <w:tcPr>
            <w:tcW w:w="8653" w:type="dxa"/>
          </w:tcPr>
          <w:p>
            <w:pPr>
              <w:autoSpaceDE w:val="0"/>
              <w:autoSpaceDN w:val="0"/>
              <w:adjustRightInd w:val="0"/>
              <w:jc w:val="both"/>
              <w:rPr>
                <w:rFonts w:cs="Arial"/>
                <w:sz w:val="22"/>
                <w:szCs w:val="22"/>
              </w:rPr>
            </w:pPr>
            <w:r>
              <w:rPr>
                <w:rFonts w:cs="Arial"/>
                <w:sz w:val="22"/>
                <w:szCs w:val="22"/>
              </w:rPr>
              <w:t>A teacher must:</w:t>
            </w:r>
          </w:p>
          <w:p>
            <w:pPr>
              <w:autoSpaceDE w:val="0"/>
              <w:autoSpaceDN w:val="0"/>
              <w:adjustRightInd w:val="0"/>
              <w:jc w:val="both"/>
              <w:rPr>
                <w:rFonts w:cs="Arial"/>
                <w:sz w:val="22"/>
                <w:szCs w:val="22"/>
              </w:rPr>
            </w:pPr>
            <w:r>
              <w:rPr>
                <w:rFonts w:cs="Arial"/>
                <w:sz w:val="22"/>
                <w:szCs w:val="22"/>
              </w:rPr>
              <w:t xml:space="preserve">1. </w:t>
            </w:r>
            <w:r>
              <w:rPr>
                <w:rFonts w:cs="Arial"/>
                <w:sz w:val="22"/>
                <w:szCs w:val="22"/>
                <w:u w:val="single"/>
              </w:rPr>
              <w:t>Set high expectations which inspire, motivate and challenge pupils</w:t>
            </w:r>
          </w:p>
          <w:p>
            <w:pPr>
              <w:autoSpaceDE w:val="0"/>
              <w:autoSpaceDN w:val="0"/>
              <w:adjustRightInd w:val="0"/>
              <w:jc w:val="both"/>
              <w:rPr>
                <w:rFonts w:cs="Arial"/>
                <w:sz w:val="22"/>
                <w:szCs w:val="22"/>
              </w:rPr>
            </w:pPr>
            <w:r>
              <w:rPr>
                <w:rFonts w:cs="Arial"/>
                <w:sz w:val="22"/>
                <w:szCs w:val="22"/>
              </w:rPr>
              <w:t>a) Establish a safe and stimulating environment for pupils, rooted in mutual respect.</w:t>
            </w:r>
          </w:p>
          <w:p>
            <w:pPr>
              <w:autoSpaceDE w:val="0"/>
              <w:autoSpaceDN w:val="0"/>
              <w:adjustRightInd w:val="0"/>
              <w:jc w:val="both"/>
              <w:rPr>
                <w:rFonts w:cs="Arial"/>
                <w:sz w:val="22"/>
                <w:szCs w:val="22"/>
              </w:rPr>
            </w:pPr>
            <w:r>
              <w:rPr>
                <w:rFonts w:cs="Arial"/>
                <w:sz w:val="22"/>
                <w:szCs w:val="22"/>
              </w:rPr>
              <w:t>b) Set goals that stretch and challenge pupils of all backgrounds, abilities and dispositions.</w:t>
            </w:r>
          </w:p>
          <w:p>
            <w:pPr>
              <w:autoSpaceDE w:val="0"/>
              <w:autoSpaceDN w:val="0"/>
              <w:adjustRightInd w:val="0"/>
              <w:jc w:val="both"/>
              <w:rPr>
                <w:rFonts w:cs="Arial"/>
                <w:sz w:val="22"/>
                <w:szCs w:val="22"/>
              </w:rPr>
            </w:pPr>
            <w:r>
              <w:rPr>
                <w:rFonts w:cs="Arial"/>
                <w:sz w:val="22"/>
                <w:szCs w:val="22"/>
              </w:rPr>
              <w:t>c) Demonstrate consistently the positive attitudes, values and behaviour which are expected of pupils.</w:t>
            </w:r>
          </w:p>
          <w:p>
            <w:pPr>
              <w:autoSpaceDE w:val="0"/>
              <w:autoSpaceDN w:val="0"/>
              <w:adjustRightInd w:val="0"/>
              <w:jc w:val="both"/>
              <w:rPr>
                <w:rFonts w:cs="Arial"/>
                <w:sz w:val="22"/>
                <w:szCs w:val="22"/>
                <w:u w:val="single"/>
              </w:rPr>
            </w:pPr>
            <w:r>
              <w:rPr>
                <w:rFonts w:cs="Arial"/>
                <w:sz w:val="22"/>
                <w:szCs w:val="22"/>
              </w:rPr>
              <w:t xml:space="preserve">2. </w:t>
            </w:r>
            <w:r>
              <w:rPr>
                <w:rFonts w:cs="Arial"/>
                <w:sz w:val="22"/>
                <w:szCs w:val="22"/>
                <w:u w:val="single"/>
              </w:rPr>
              <w:t>Promote good progress and outcomes by pupils</w:t>
            </w:r>
          </w:p>
          <w:p>
            <w:pPr>
              <w:autoSpaceDE w:val="0"/>
              <w:autoSpaceDN w:val="0"/>
              <w:adjustRightInd w:val="0"/>
              <w:jc w:val="both"/>
              <w:rPr>
                <w:rFonts w:cs="Arial"/>
                <w:sz w:val="22"/>
                <w:szCs w:val="22"/>
              </w:rPr>
            </w:pPr>
            <w:r>
              <w:rPr>
                <w:rFonts w:cs="Arial"/>
                <w:sz w:val="22"/>
                <w:szCs w:val="22"/>
              </w:rPr>
              <w:t>a) Be accountable for pupils’ attainment, progress and outcomes.</w:t>
            </w:r>
          </w:p>
          <w:p>
            <w:pPr>
              <w:autoSpaceDE w:val="0"/>
              <w:autoSpaceDN w:val="0"/>
              <w:adjustRightInd w:val="0"/>
              <w:jc w:val="both"/>
              <w:rPr>
                <w:rFonts w:cs="Arial"/>
                <w:sz w:val="22"/>
                <w:szCs w:val="22"/>
              </w:rPr>
            </w:pPr>
            <w:r>
              <w:rPr>
                <w:rFonts w:cs="Arial"/>
                <w:sz w:val="22"/>
                <w:szCs w:val="22"/>
              </w:rPr>
              <w:t xml:space="preserve">b) Plan teaching to build on pupils' capabilities and prior knowledge </w:t>
            </w:r>
          </w:p>
          <w:p>
            <w:pPr>
              <w:autoSpaceDE w:val="0"/>
              <w:autoSpaceDN w:val="0"/>
              <w:adjustRightInd w:val="0"/>
              <w:jc w:val="both"/>
              <w:rPr>
                <w:rFonts w:cs="Arial"/>
                <w:sz w:val="22"/>
                <w:szCs w:val="22"/>
              </w:rPr>
            </w:pPr>
            <w:r>
              <w:rPr>
                <w:rFonts w:cs="Arial"/>
                <w:sz w:val="22"/>
                <w:szCs w:val="22"/>
              </w:rPr>
              <w:t>c) Guide pupils to reflect on the progress they have made and their emerging needs.</w:t>
            </w:r>
          </w:p>
          <w:p>
            <w:pPr>
              <w:autoSpaceDE w:val="0"/>
              <w:autoSpaceDN w:val="0"/>
              <w:adjustRightInd w:val="0"/>
              <w:jc w:val="both"/>
              <w:rPr>
                <w:rFonts w:cs="Arial"/>
                <w:sz w:val="22"/>
                <w:szCs w:val="22"/>
              </w:rPr>
            </w:pPr>
            <w:r>
              <w:rPr>
                <w:rFonts w:cs="Arial"/>
                <w:sz w:val="22"/>
                <w:szCs w:val="22"/>
              </w:rPr>
              <w:t xml:space="preserve">d) Demonstrate knowledge and understanding of how pupils learn and how </w:t>
            </w:r>
            <w:proofErr w:type="gramStart"/>
            <w:r>
              <w:rPr>
                <w:rFonts w:cs="Arial"/>
                <w:sz w:val="22"/>
                <w:szCs w:val="22"/>
              </w:rPr>
              <w:t>this impacts</w:t>
            </w:r>
            <w:proofErr w:type="gramEnd"/>
            <w:r>
              <w:rPr>
                <w:rFonts w:cs="Arial"/>
                <w:sz w:val="22"/>
                <w:szCs w:val="22"/>
              </w:rPr>
              <w:t xml:space="preserve"> on teaching.</w:t>
            </w:r>
          </w:p>
          <w:p>
            <w:pPr>
              <w:autoSpaceDE w:val="0"/>
              <w:autoSpaceDN w:val="0"/>
              <w:adjustRightInd w:val="0"/>
              <w:jc w:val="both"/>
              <w:rPr>
                <w:rFonts w:cs="Arial"/>
                <w:sz w:val="22"/>
                <w:szCs w:val="22"/>
              </w:rPr>
            </w:pPr>
            <w:r>
              <w:rPr>
                <w:rFonts w:cs="Arial"/>
                <w:sz w:val="22"/>
                <w:szCs w:val="22"/>
              </w:rPr>
              <w:t>e) Encourage pupils to take a responsible and conscientious attitude to their own work and study.</w:t>
            </w:r>
          </w:p>
          <w:p>
            <w:pPr>
              <w:autoSpaceDE w:val="0"/>
              <w:autoSpaceDN w:val="0"/>
              <w:adjustRightInd w:val="0"/>
              <w:jc w:val="both"/>
              <w:rPr>
                <w:rFonts w:cs="Arial"/>
                <w:sz w:val="22"/>
                <w:szCs w:val="22"/>
                <w:u w:val="single"/>
              </w:rPr>
            </w:pPr>
            <w:r>
              <w:rPr>
                <w:rFonts w:cs="Arial"/>
                <w:sz w:val="22"/>
                <w:szCs w:val="22"/>
              </w:rPr>
              <w:t xml:space="preserve">3. </w:t>
            </w:r>
            <w:r>
              <w:rPr>
                <w:rFonts w:cs="Arial"/>
                <w:sz w:val="22"/>
                <w:szCs w:val="22"/>
                <w:u w:val="single"/>
              </w:rPr>
              <w:t>Demonstrate good subject and curriculum knowledge</w:t>
            </w:r>
          </w:p>
          <w:p>
            <w:pPr>
              <w:autoSpaceDE w:val="0"/>
              <w:autoSpaceDN w:val="0"/>
              <w:adjustRightInd w:val="0"/>
              <w:jc w:val="both"/>
              <w:rPr>
                <w:rFonts w:cs="Arial"/>
                <w:sz w:val="22"/>
                <w:szCs w:val="22"/>
              </w:rPr>
            </w:pPr>
            <w:r>
              <w:rPr>
                <w:rFonts w:cs="Arial"/>
                <w:sz w:val="22"/>
                <w:szCs w:val="22"/>
              </w:rPr>
              <w:t>a) Have a secure knowledge of the relevant subject(s) and curriculum areas, foster and maintain pupils’ interest in the subject, and address misunderstandings.</w:t>
            </w:r>
          </w:p>
          <w:p>
            <w:pPr>
              <w:autoSpaceDE w:val="0"/>
              <w:autoSpaceDN w:val="0"/>
              <w:adjustRightInd w:val="0"/>
              <w:jc w:val="both"/>
              <w:rPr>
                <w:rFonts w:cs="Arial"/>
                <w:sz w:val="22"/>
                <w:szCs w:val="22"/>
              </w:rPr>
            </w:pPr>
            <w:r>
              <w:rPr>
                <w:rFonts w:cs="Arial"/>
                <w:sz w:val="22"/>
                <w:szCs w:val="22"/>
              </w:rPr>
              <w:t xml:space="preserve">b) Demonstrate a critical understanding of developments in the subject and curriculum areas, and promote the value of scholarship </w:t>
            </w:r>
          </w:p>
          <w:p>
            <w:pPr>
              <w:autoSpaceDE w:val="0"/>
              <w:autoSpaceDN w:val="0"/>
              <w:adjustRightInd w:val="0"/>
              <w:jc w:val="both"/>
              <w:rPr>
                <w:rFonts w:cs="Arial"/>
                <w:sz w:val="22"/>
                <w:szCs w:val="22"/>
              </w:rPr>
            </w:pPr>
            <w:r>
              <w:rPr>
                <w:rFonts w:cs="Arial"/>
                <w:sz w:val="22"/>
                <w:szCs w:val="22"/>
              </w:rPr>
              <w:t>c) Demonstrate an understanding of and take responsibility for promoting high standards of literacy, articulacy and the correct use of standard English, whatever the teacher’s specialist subject.</w:t>
            </w:r>
          </w:p>
          <w:p>
            <w:pPr>
              <w:autoSpaceDE w:val="0"/>
              <w:autoSpaceDN w:val="0"/>
              <w:adjustRightInd w:val="0"/>
              <w:jc w:val="both"/>
              <w:rPr>
                <w:rFonts w:cs="Arial"/>
                <w:sz w:val="22"/>
                <w:szCs w:val="22"/>
              </w:rPr>
            </w:pPr>
            <w:r>
              <w:rPr>
                <w:rFonts w:cs="Arial"/>
                <w:sz w:val="22"/>
                <w:szCs w:val="22"/>
              </w:rPr>
              <w:t xml:space="preserve">4. </w:t>
            </w:r>
            <w:r>
              <w:rPr>
                <w:rFonts w:cs="Arial"/>
                <w:sz w:val="22"/>
                <w:szCs w:val="22"/>
                <w:u w:val="single"/>
              </w:rPr>
              <w:t>Plan and teach well-structured lessons</w:t>
            </w:r>
          </w:p>
          <w:p>
            <w:pPr>
              <w:autoSpaceDE w:val="0"/>
              <w:autoSpaceDN w:val="0"/>
              <w:adjustRightInd w:val="0"/>
              <w:jc w:val="both"/>
              <w:rPr>
                <w:rFonts w:cs="Arial"/>
                <w:sz w:val="22"/>
                <w:szCs w:val="22"/>
              </w:rPr>
            </w:pPr>
            <w:r>
              <w:rPr>
                <w:rFonts w:cs="Arial"/>
                <w:sz w:val="22"/>
                <w:szCs w:val="22"/>
              </w:rPr>
              <w:t>a) Impart knowledge and develop understanding through effective use of lesson time.</w:t>
            </w:r>
          </w:p>
          <w:p>
            <w:pPr>
              <w:autoSpaceDE w:val="0"/>
              <w:autoSpaceDN w:val="0"/>
              <w:adjustRightInd w:val="0"/>
              <w:jc w:val="both"/>
              <w:rPr>
                <w:rFonts w:cs="Arial"/>
                <w:sz w:val="22"/>
                <w:szCs w:val="22"/>
              </w:rPr>
            </w:pPr>
            <w:r>
              <w:rPr>
                <w:rFonts w:cs="Arial"/>
                <w:sz w:val="22"/>
                <w:szCs w:val="22"/>
              </w:rPr>
              <w:t>b) Promote a love of learning and children’s intellectual curiosity.</w:t>
            </w:r>
          </w:p>
          <w:p>
            <w:pPr>
              <w:autoSpaceDE w:val="0"/>
              <w:autoSpaceDN w:val="0"/>
              <w:adjustRightInd w:val="0"/>
              <w:jc w:val="both"/>
              <w:rPr>
                <w:rFonts w:cs="Arial"/>
                <w:sz w:val="22"/>
                <w:szCs w:val="22"/>
              </w:rPr>
            </w:pPr>
            <w:r>
              <w:rPr>
                <w:rFonts w:cs="Arial"/>
                <w:sz w:val="22"/>
                <w:szCs w:val="22"/>
              </w:rPr>
              <w:t>c) Set homework and plan other out-of-class activities to consolidate and extend the knowledge and understanding pupils have acquired.</w:t>
            </w:r>
          </w:p>
          <w:p>
            <w:pPr>
              <w:autoSpaceDE w:val="0"/>
              <w:autoSpaceDN w:val="0"/>
              <w:adjustRightInd w:val="0"/>
              <w:jc w:val="both"/>
              <w:rPr>
                <w:rFonts w:cs="Arial"/>
                <w:sz w:val="22"/>
                <w:szCs w:val="22"/>
              </w:rPr>
            </w:pPr>
            <w:r>
              <w:rPr>
                <w:rFonts w:cs="Arial"/>
                <w:sz w:val="22"/>
                <w:szCs w:val="22"/>
              </w:rPr>
              <w:t>d) Reflect systematically on the effectiveness of lessons and approaches to teaching.</w:t>
            </w:r>
          </w:p>
          <w:p>
            <w:pPr>
              <w:autoSpaceDE w:val="0"/>
              <w:autoSpaceDN w:val="0"/>
              <w:adjustRightInd w:val="0"/>
              <w:jc w:val="both"/>
              <w:rPr>
                <w:rFonts w:cs="Arial"/>
                <w:sz w:val="22"/>
                <w:szCs w:val="22"/>
              </w:rPr>
            </w:pPr>
            <w:r>
              <w:rPr>
                <w:rFonts w:cs="Arial"/>
                <w:sz w:val="22"/>
                <w:szCs w:val="22"/>
              </w:rPr>
              <w:t>e) Contribute to the design and provision of an engaging curriculum within the relevant subject area(s).</w:t>
            </w:r>
          </w:p>
          <w:p>
            <w:pPr>
              <w:autoSpaceDE w:val="0"/>
              <w:autoSpaceDN w:val="0"/>
              <w:adjustRightInd w:val="0"/>
              <w:jc w:val="both"/>
              <w:rPr>
                <w:rFonts w:cs="Arial"/>
                <w:sz w:val="22"/>
                <w:szCs w:val="22"/>
              </w:rPr>
            </w:pPr>
            <w:r>
              <w:rPr>
                <w:rFonts w:cs="Arial"/>
                <w:sz w:val="22"/>
                <w:szCs w:val="22"/>
              </w:rPr>
              <w:t xml:space="preserve">5. </w:t>
            </w:r>
            <w:r>
              <w:rPr>
                <w:rFonts w:cs="Arial"/>
                <w:sz w:val="22"/>
                <w:szCs w:val="22"/>
                <w:u w:val="single"/>
              </w:rPr>
              <w:t>Adapt teaching to respond to the strengths and needs of all pupils</w:t>
            </w:r>
          </w:p>
          <w:p>
            <w:pPr>
              <w:autoSpaceDE w:val="0"/>
              <w:autoSpaceDN w:val="0"/>
              <w:adjustRightInd w:val="0"/>
              <w:jc w:val="both"/>
              <w:rPr>
                <w:rFonts w:cs="Arial"/>
                <w:sz w:val="22"/>
                <w:szCs w:val="22"/>
              </w:rPr>
            </w:pPr>
            <w:r>
              <w:rPr>
                <w:rFonts w:cs="Arial"/>
                <w:sz w:val="22"/>
                <w:szCs w:val="22"/>
              </w:rPr>
              <w:t>a) Know when and how to differentiate appropriately, using approaches which enable pupils to be taught effectively.</w:t>
            </w:r>
          </w:p>
          <w:p>
            <w:pPr>
              <w:autoSpaceDE w:val="0"/>
              <w:autoSpaceDN w:val="0"/>
              <w:adjustRightInd w:val="0"/>
              <w:jc w:val="both"/>
              <w:rPr>
                <w:rFonts w:cs="Arial"/>
                <w:sz w:val="22"/>
                <w:szCs w:val="22"/>
              </w:rPr>
            </w:pPr>
            <w:r>
              <w:rPr>
                <w:rFonts w:cs="Arial"/>
                <w:sz w:val="22"/>
                <w:szCs w:val="22"/>
              </w:rPr>
              <w:t>b) Have a secure understanding of how a range of factors can inhibit pupils’ ability to learn, and how best to overcome these demonstrate an awareness of the physical, social and intellectual development of children, and know how to adapt teaching to support pupils’ education at different stages of development.</w:t>
            </w:r>
          </w:p>
          <w:p>
            <w:pPr>
              <w:autoSpaceDE w:val="0"/>
              <w:autoSpaceDN w:val="0"/>
              <w:adjustRightInd w:val="0"/>
              <w:jc w:val="both"/>
              <w:rPr>
                <w:rFonts w:cs="Arial"/>
                <w:sz w:val="22"/>
                <w:szCs w:val="22"/>
              </w:rPr>
            </w:pPr>
            <w:r>
              <w:rPr>
                <w:rFonts w:cs="Arial"/>
                <w:sz w:val="22"/>
                <w:szCs w:val="22"/>
              </w:rPr>
              <w:t>c) 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pPr>
              <w:autoSpaceDE w:val="0"/>
              <w:autoSpaceDN w:val="0"/>
              <w:adjustRightInd w:val="0"/>
              <w:jc w:val="both"/>
              <w:rPr>
                <w:rFonts w:cs="Arial"/>
                <w:sz w:val="22"/>
                <w:szCs w:val="22"/>
              </w:rPr>
            </w:pPr>
          </w:p>
          <w:p>
            <w:pPr>
              <w:autoSpaceDE w:val="0"/>
              <w:autoSpaceDN w:val="0"/>
              <w:adjustRightInd w:val="0"/>
              <w:jc w:val="both"/>
              <w:rPr>
                <w:rFonts w:cs="Arial"/>
                <w:sz w:val="22"/>
                <w:szCs w:val="22"/>
                <w:u w:val="single"/>
              </w:rPr>
            </w:pPr>
            <w:r>
              <w:rPr>
                <w:rFonts w:cs="Arial"/>
                <w:sz w:val="22"/>
                <w:szCs w:val="22"/>
              </w:rPr>
              <w:t xml:space="preserve">6. </w:t>
            </w:r>
            <w:r>
              <w:rPr>
                <w:rFonts w:cs="Arial"/>
                <w:sz w:val="22"/>
                <w:szCs w:val="22"/>
                <w:u w:val="single"/>
              </w:rPr>
              <w:t>Make accurate and productive use of assessment</w:t>
            </w:r>
          </w:p>
          <w:p>
            <w:pPr>
              <w:autoSpaceDE w:val="0"/>
              <w:autoSpaceDN w:val="0"/>
              <w:adjustRightInd w:val="0"/>
              <w:jc w:val="both"/>
              <w:rPr>
                <w:rFonts w:cs="Arial"/>
                <w:sz w:val="22"/>
                <w:szCs w:val="22"/>
              </w:rPr>
            </w:pPr>
            <w:r>
              <w:rPr>
                <w:rFonts w:cs="Arial"/>
                <w:sz w:val="22"/>
                <w:szCs w:val="22"/>
              </w:rPr>
              <w:t>a) Know and understand how to assess the relevant subject and curriculum areas, including statutory assessment requirements.</w:t>
            </w:r>
          </w:p>
          <w:p>
            <w:pPr>
              <w:autoSpaceDE w:val="0"/>
              <w:autoSpaceDN w:val="0"/>
              <w:adjustRightInd w:val="0"/>
              <w:jc w:val="both"/>
              <w:rPr>
                <w:rFonts w:cs="Arial"/>
                <w:sz w:val="22"/>
                <w:szCs w:val="22"/>
              </w:rPr>
            </w:pPr>
            <w:r>
              <w:rPr>
                <w:rFonts w:cs="Arial"/>
                <w:sz w:val="22"/>
                <w:szCs w:val="22"/>
              </w:rPr>
              <w:t>b) Make use of formative and summative assessment to secure pupils’ progress.</w:t>
            </w:r>
          </w:p>
          <w:p>
            <w:pPr>
              <w:autoSpaceDE w:val="0"/>
              <w:autoSpaceDN w:val="0"/>
              <w:adjustRightInd w:val="0"/>
              <w:jc w:val="both"/>
              <w:rPr>
                <w:rFonts w:cs="Arial"/>
                <w:sz w:val="22"/>
                <w:szCs w:val="22"/>
              </w:rPr>
            </w:pPr>
            <w:r>
              <w:rPr>
                <w:rFonts w:cs="Arial"/>
                <w:sz w:val="22"/>
                <w:szCs w:val="22"/>
              </w:rPr>
              <w:t>c) Use relevant data to monitor progress, set targets, and plan subsequent lessons.</w:t>
            </w:r>
          </w:p>
          <w:p>
            <w:pPr>
              <w:autoSpaceDE w:val="0"/>
              <w:autoSpaceDN w:val="0"/>
              <w:adjustRightInd w:val="0"/>
              <w:jc w:val="both"/>
              <w:rPr>
                <w:rFonts w:cs="Arial"/>
                <w:sz w:val="22"/>
                <w:szCs w:val="22"/>
              </w:rPr>
            </w:pPr>
            <w:r>
              <w:rPr>
                <w:rFonts w:cs="Arial"/>
                <w:sz w:val="22"/>
                <w:szCs w:val="22"/>
              </w:rPr>
              <w:t>d) Give pupils regular feedback, both orally and through accurate marking, and encourage pupils to respond to the feedback.</w:t>
            </w:r>
          </w:p>
          <w:p>
            <w:pPr>
              <w:autoSpaceDE w:val="0"/>
              <w:autoSpaceDN w:val="0"/>
              <w:adjustRightInd w:val="0"/>
              <w:jc w:val="both"/>
              <w:rPr>
                <w:rFonts w:cs="Arial"/>
                <w:sz w:val="22"/>
                <w:szCs w:val="22"/>
              </w:rPr>
            </w:pPr>
            <w:r>
              <w:rPr>
                <w:rFonts w:cs="Arial"/>
                <w:sz w:val="22"/>
                <w:szCs w:val="22"/>
              </w:rPr>
              <w:t xml:space="preserve">7. </w:t>
            </w:r>
            <w:r>
              <w:rPr>
                <w:rFonts w:cs="Arial"/>
                <w:sz w:val="22"/>
                <w:szCs w:val="22"/>
                <w:u w:val="single"/>
              </w:rPr>
              <w:t>Manage behaviour effectively to ensure a good and safe learning environment</w:t>
            </w:r>
          </w:p>
          <w:p>
            <w:pPr>
              <w:autoSpaceDE w:val="0"/>
              <w:autoSpaceDN w:val="0"/>
              <w:adjustRightInd w:val="0"/>
              <w:jc w:val="both"/>
              <w:rPr>
                <w:rFonts w:cs="Arial"/>
                <w:sz w:val="22"/>
                <w:szCs w:val="22"/>
              </w:rPr>
            </w:pPr>
            <w:r>
              <w:rPr>
                <w:rFonts w:cs="Arial"/>
                <w:sz w:val="22"/>
                <w:szCs w:val="22"/>
              </w:rPr>
              <w:t>a) Ensure pupils follow clear rules and routines for behaviour in classrooms, and take responsibility for promoting good and courteous behaviour using PARS, both in classrooms and around the school, in accordance with the school’s behaviour policy.</w:t>
            </w:r>
          </w:p>
          <w:p>
            <w:pPr>
              <w:autoSpaceDE w:val="0"/>
              <w:autoSpaceDN w:val="0"/>
              <w:adjustRightInd w:val="0"/>
              <w:jc w:val="both"/>
              <w:rPr>
                <w:rFonts w:cs="Arial"/>
                <w:sz w:val="22"/>
                <w:szCs w:val="22"/>
              </w:rPr>
            </w:pPr>
            <w:r>
              <w:rPr>
                <w:rFonts w:cs="Arial"/>
                <w:sz w:val="22"/>
                <w:szCs w:val="22"/>
              </w:rPr>
              <w:t>b) Have high expectations of behaviour, and establish a framework for discipline with a range of strategies, using praise, sanctions and rewards consistently and fairly manage classes effectively, using approaches which are appropriate to pupils’ needs in order to involve and motivate them.</w:t>
            </w:r>
          </w:p>
          <w:p>
            <w:pPr>
              <w:autoSpaceDE w:val="0"/>
              <w:autoSpaceDN w:val="0"/>
              <w:adjustRightInd w:val="0"/>
              <w:jc w:val="both"/>
              <w:rPr>
                <w:rFonts w:cs="Arial"/>
                <w:sz w:val="22"/>
                <w:szCs w:val="22"/>
              </w:rPr>
            </w:pPr>
            <w:r>
              <w:rPr>
                <w:rFonts w:cs="Arial"/>
                <w:sz w:val="22"/>
                <w:szCs w:val="22"/>
              </w:rPr>
              <w:t>c) Cultivate and maintain good relationships with pupils, exercise appropriate authority, and act decisively when necessary.</w:t>
            </w:r>
          </w:p>
          <w:p>
            <w:pPr>
              <w:autoSpaceDE w:val="0"/>
              <w:autoSpaceDN w:val="0"/>
              <w:adjustRightInd w:val="0"/>
              <w:jc w:val="both"/>
              <w:rPr>
                <w:rFonts w:cs="Arial"/>
                <w:sz w:val="22"/>
                <w:szCs w:val="22"/>
                <w:u w:val="single"/>
              </w:rPr>
            </w:pPr>
            <w:r>
              <w:rPr>
                <w:rFonts w:cs="Arial"/>
                <w:sz w:val="22"/>
                <w:szCs w:val="22"/>
              </w:rPr>
              <w:t xml:space="preserve">8. </w:t>
            </w:r>
            <w:r>
              <w:rPr>
                <w:rFonts w:cs="Arial"/>
                <w:sz w:val="22"/>
                <w:szCs w:val="22"/>
                <w:u w:val="single"/>
              </w:rPr>
              <w:t>Fulfil wider professional responsibilities</w:t>
            </w:r>
          </w:p>
          <w:p>
            <w:pPr>
              <w:autoSpaceDE w:val="0"/>
              <w:autoSpaceDN w:val="0"/>
              <w:adjustRightInd w:val="0"/>
              <w:jc w:val="both"/>
              <w:rPr>
                <w:rFonts w:cs="Arial"/>
                <w:sz w:val="22"/>
                <w:szCs w:val="22"/>
              </w:rPr>
            </w:pPr>
            <w:r>
              <w:rPr>
                <w:rFonts w:cs="Arial"/>
                <w:sz w:val="22"/>
                <w:szCs w:val="22"/>
              </w:rPr>
              <w:t>a) Make a positive contribution to the wider life and ethos of the school.</w:t>
            </w:r>
          </w:p>
          <w:p>
            <w:pPr>
              <w:autoSpaceDE w:val="0"/>
              <w:autoSpaceDN w:val="0"/>
              <w:adjustRightInd w:val="0"/>
              <w:jc w:val="both"/>
              <w:rPr>
                <w:rFonts w:cs="Arial"/>
                <w:sz w:val="22"/>
                <w:szCs w:val="22"/>
              </w:rPr>
            </w:pPr>
            <w:r>
              <w:rPr>
                <w:rFonts w:cs="Arial"/>
                <w:sz w:val="22"/>
                <w:szCs w:val="22"/>
              </w:rPr>
              <w:t>b) Develop effective professional relationships with colleagues, knowing how and when to draw on advice and specialist support.</w:t>
            </w:r>
          </w:p>
          <w:p>
            <w:pPr>
              <w:jc w:val="both"/>
              <w:rPr>
                <w:rFonts w:cs="Arial"/>
                <w:sz w:val="22"/>
                <w:szCs w:val="22"/>
              </w:rPr>
            </w:pPr>
            <w:r>
              <w:rPr>
                <w:rFonts w:cs="Arial"/>
                <w:sz w:val="22"/>
                <w:szCs w:val="22"/>
              </w:rPr>
              <w:t>c) Deploy support staff effectively.</w:t>
            </w:r>
          </w:p>
          <w:p>
            <w:pPr>
              <w:autoSpaceDE w:val="0"/>
              <w:autoSpaceDN w:val="0"/>
              <w:adjustRightInd w:val="0"/>
              <w:jc w:val="both"/>
              <w:rPr>
                <w:rFonts w:cs="Arial"/>
                <w:sz w:val="22"/>
                <w:szCs w:val="22"/>
              </w:rPr>
            </w:pPr>
            <w:r>
              <w:rPr>
                <w:rFonts w:cs="Arial"/>
                <w:sz w:val="22"/>
                <w:szCs w:val="22"/>
              </w:rPr>
              <w:t xml:space="preserve">d) Take responsibility for improving teaching through appropriate professional development, responding to advice and feedback from colleagues. </w:t>
            </w:r>
          </w:p>
          <w:p>
            <w:pPr>
              <w:autoSpaceDE w:val="0"/>
              <w:autoSpaceDN w:val="0"/>
              <w:adjustRightInd w:val="0"/>
              <w:jc w:val="both"/>
              <w:rPr>
                <w:rFonts w:cs="Arial"/>
                <w:sz w:val="22"/>
                <w:szCs w:val="22"/>
              </w:rPr>
            </w:pPr>
            <w:r>
              <w:rPr>
                <w:rFonts w:cs="Arial"/>
                <w:sz w:val="22"/>
                <w:szCs w:val="22"/>
              </w:rPr>
              <w:t>e) Communicate effectively with parents with regard to pupils’ achievements and well-being.</w:t>
            </w:r>
          </w:p>
          <w:p>
            <w:pPr>
              <w:spacing w:after="0" w:line="240" w:lineRule="auto"/>
              <w:rPr>
                <w:color w:val="auto"/>
                <w:sz w:val="22"/>
                <w:szCs w:val="22"/>
              </w:rPr>
            </w:pPr>
          </w:p>
        </w:tc>
      </w:tr>
      <w:tr>
        <w:tc>
          <w:tcPr>
            <w:tcW w:w="1792" w:type="dxa"/>
            <w:vAlign w:val="center"/>
          </w:tcPr>
          <w:p>
            <w:pPr>
              <w:jc w:val="center"/>
              <w:rPr>
                <w:b/>
                <w:color w:val="auto"/>
                <w:sz w:val="22"/>
                <w:szCs w:val="22"/>
              </w:rPr>
            </w:pPr>
            <w:r>
              <w:rPr>
                <w:b/>
                <w:color w:val="auto"/>
                <w:sz w:val="22"/>
                <w:szCs w:val="22"/>
              </w:rPr>
              <w:t>PART TWO: PERSONAL AND PROFESSIONAL CONDUCT</w:t>
            </w:r>
          </w:p>
          <w:p>
            <w:pPr>
              <w:jc w:val="center"/>
              <w:rPr>
                <w:b/>
                <w:color w:val="auto"/>
                <w:sz w:val="22"/>
                <w:szCs w:val="22"/>
              </w:rPr>
            </w:pPr>
          </w:p>
        </w:tc>
        <w:tc>
          <w:tcPr>
            <w:tcW w:w="8653" w:type="dxa"/>
          </w:tcPr>
          <w:p>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A teacher is expected to demonstrate consistently high standards of personal and professional conduct. The following statements define the behaviour and attitudes which set the required standard for conduct throughout a teacher’s career.</w:t>
            </w:r>
          </w:p>
          <w:p>
            <w:pPr>
              <w:autoSpaceDE w:val="0"/>
              <w:autoSpaceDN w:val="0"/>
              <w:adjustRightInd w:val="0"/>
              <w:jc w:val="both"/>
              <w:rPr>
                <w:rFonts w:cs="TimesNewRoman"/>
                <w:color w:val="000000"/>
                <w:sz w:val="22"/>
                <w:szCs w:val="22"/>
                <w:u w:val="single"/>
                <w:lang w:val="en-GB" w:eastAsia="en-GB"/>
              </w:rPr>
            </w:pPr>
            <w:r>
              <w:rPr>
                <w:rFonts w:cs="TimesNewRoman"/>
                <w:color w:val="000000"/>
                <w:sz w:val="22"/>
                <w:szCs w:val="22"/>
                <w:lang w:val="en-GB" w:eastAsia="en-GB"/>
              </w:rPr>
              <w:t xml:space="preserve">1. </w:t>
            </w:r>
            <w:r>
              <w:rPr>
                <w:rFonts w:cs="TimesNewRoman"/>
                <w:color w:val="000000"/>
                <w:sz w:val="22"/>
                <w:szCs w:val="22"/>
                <w:u w:val="single"/>
                <w:lang w:val="en-GB" w:eastAsia="en-GB"/>
              </w:rPr>
              <w:t>Teachers uphold public trust in the profession and maintain high standards of ethics and behaviour, within and outside school, by:</w:t>
            </w:r>
          </w:p>
          <w:p>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a) Treating pupils with dignity, building relationships rooted in mutual respect, and at all times observing proper boundaries appropriate to a teacher’s professional position having regard for the need to safeguard pupils’ well-being, in accordance with statutory provisions.</w:t>
            </w:r>
          </w:p>
          <w:p>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b) Showing tolerance of and respect for the rights of others.</w:t>
            </w:r>
          </w:p>
          <w:p>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c) Not undermining fundamental British values, including democracy, the rule of law, individual liberty and mutual respect, and tolerance of those with different faiths and beliefs</w:t>
            </w:r>
          </w:p>
          <w:p>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d) Ensuring that personal beliefs are not expressed in ways which exploit pupils’ vulnerability or might lead them to break the law.</w:t>
            </w:r>
          </w:p>
          <w:p>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2. Teachers must have proper and professional regard for the ethos, policies and practices of the school in which they teach, and maintain high standards in their own attendance and punctuality.</w:t>
            </w:r>
          </w:p>
          <w:p>
            <w:pPr>
              <w:autoSpaceDE w:val="0"/>
              <w:autoSpaceDN w:val="0"/>
              <w:adjustRightInd w:val="0"/>
              <w:jc w:val="both"/>
              <w:rPr>
                <w:rFonts w:cs="TimesNewRoman"/>
                <w:color w:val="000000"/>
                <w:sz w:val="22"/>
                <w:szCs w:val="22"/>
                <w:lang w:val="en-GB" w:eastAsia="en-GB"/>
              </w:rPr>
            </w:pPr>
          </w:p>
          <w:p>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3. Teachers must have an understanding of, and always act within, the statutory frameworks which set out their professional duties and responsibilities.</w:t>
            </w:r>
          </w:p>
          <w:p>
            <w:pPr>
              <w:autoSpaceDE w:val="0"/>
              <w:autoSpaceDN w:val="0"/>
              <w:adjustRightInd w:val="0"/>
              <w:jc w:val="both"/>
              <w:rPr>
                <w:rFonts w:cs="Arial"/>
                <w:sz w:val="22"/>
                <w:szCs w:val="22"/>
              </w:rPr>
            </w:pPr>
            <w:r>
              <w:rPr>
                <w:rFonts w:cs="Arial"/>
                <w:sz w:val="22"/>
                <w:szCs w:val="22"/>
                <w:lang w:eastAsia="en-GB"/>
              </w:rPr>
              <w:br w:type="page"/>
            </w:r>
          </w:p>
        </w:tc>
      </w:tr>
      <w:tr>
        <w:tc>
          <w:tcPr>
            <w:tcW w:w="1792" w:type="dxa"/>
            <w:tcBorders>
              <w:bottom w:val="single" w:sz="4" w:space="0" w:color="auto"/>
            </w:tcBorders>
            <w:vAlign w:val="center"/>
          </w:tcPr>
          <w:p>
            <w:pPr>
              <w:jc w:val="center"/>
              <w:rPr>
                <w:b/>
                <w:color w:val="auto"/>
                <w:sz w:val="22"/>
                <w:szCs w:val="22"/>
              </w:rPr>
            </w:pPr>
            <w:r>
              <w:rPr>
                <w:b/>
                <w:color w:val="auto"/>
                <w:sz w:val="22"/>
                <w:szCs w:val="22"/>
              </w:rPr>
              <w:t>Pastoral System</w:t>
            </w:r>
          </w:p>
        </w:tc>
        <w:tc>
          <w:tcPr>
            <w:tcW w:w="8653" w:type="dxa"/>
          </w:tcPr>
          <w:p>
            <w:pPr>
              <w:jc w:val="both"/>
              <w:rPr>
                <w:rFonts w:cs="TimesNewRoman"/>
                <w:color w:val="000000"/>
                <w:sz w:val="22"/>
                <w:szCs w:val="22"/>
                <w:lang w:val="en-GB" w:eastAsia="en-GB"/>
              </w:rPr>
            </w:pPr>
            <w:r>
              <w:rPr>
                <w:rFonts w:cs="TimesNewRoman"/>
                <w:color w:val="000000"/>
                <w:sz w:val="22"/>
                <w:szCs w:val="22"/>
                <w:lang w:val="en-GB" w:eastAsia="en-GB"/>
              </w:rPr>
              <w:t>1.To monitor and support the overall progress and development of pupils within classes assigned.</w:t>
            </w:r>
          </w:p>
          <w:p>
            <w:pPr>
              <w:jc w:val="both"/>
              <w:rPr>
                <w:rFonts w:cs="TimesNewRoman"/>
                <w:color w:val="000000"/>
                <w:sz w:val="22"/>
                <w:szCs w:val="22"/>
                <w:lang w:val="en-GB" w:eastAsia="en-GB"/>
              </w:rPr>
            </w:pPr>
            <w:r>
              <w:rPr>
                <w:rFonts w:cs="TimesNewRoman"/>
                <w:color w:val="000000"/>
                <w:sz w:val="22"/>
                <w:szCs w:val="22"/>
                <w:lang w:val="en-GB" w:eastAsia="en-GB"/>
              </w:rPr>
              <w:t>2.To act as a form tutor and carry out the duties associated with the role</w:t>
            </w:r>
          </w:p>
          <w:p>
            <w:pPr>
              <w:jc w:val="both"/>
              <w:rPr>
                <w:rFonts w:cs="TimesNewRoman"/>
                <w:color w:val="000000"/>
                <w:sz w:val="22"/>
                <w:szCs w:val="22"/>
                <w:lang w:val="en-GB" w:eastAsia="en-GB"/>
              </w:rPr>
            </w:pPr>
            <w:r>
              <w:rPr>
                <w:rFonts w:cs="TimesNewRoman"/>
                <w:color w:val="000000"/>
                <w:sz w:val="22"/>
                <w:szCs w:val="22"/>
                <w:lang w:val="en-GB" w:eastAsia="en-GB"/>
              </w:rPr>
              <w:t>3.To contribute to the teaching of Learning for Life, Citizenship and Enterprise according to school policy.</w:t>
            </w:r>
          </w:p>
          <w:p>
            <w:pPr>
              <w:jc w:val="both"/>
              <w:rPr>
                <w:rFonts w:cs="TimesNewRoman"/>
                <w:color w:val="000000"/>
                <w:sz w:val="22"/>
                <w:szCs w:val="22"/>
                <w:lang w:val="en-GB" w:eastAsia="en-GB"/>
              </w:rPr>
            </w:pPr>
            <w:r>
              <w:rPr>
                <w:rFonts w:cs="TimesNewRoman"/>
                <w:color w:val="000000"/>
                <w:sz w:val="22"/>
                <w:szCs w:val="22"/>
                <w:lang w:val="en-GB" w:eastAsia="en-GB"/>
              </w:rPr>
              <w:t>4.To attend regular training with regard to safeguarding and follow school and legal procedures when dealing with safeguarding issues, including referral to the DSP.</w:t>
            </w:r>
          </w:p>
          <w:p>
            <w:pPr>
              <w:autoSpaceDE w:val="0"/>
              <w:autoSpaceDN w:val="0"/>
              <w:adjustRightInd w:val="0"/>
              <w:jc w:val="both"/>
              <w:rPr>
                <w:rFonts w:cs="TimesNewRoman"/>
                <w:color w:val="000000"/>
                <w:sz w:val="22"/>
                <w:szCs w:val="22"/>
                <w:lang w:val="en-GB" w:eastAsia="en-GB"/>
              </w:rPr>
            </w:pPr>
          </w:p>
        </w:tc>
      </w:tr>
      <w:tr>
        <w:tc>
          <w:tcPr>
            <w:tcW w:w="1792" w:type="dxa"/>
            <w:tcBorders>
              <w:top w:val="single" w:sz="4" w:space="0" w:color="auto"/>
            </w:tcBorders>
            <w:vAlign w:val="center"/>
          </w:tcPr>
          <w:p>
            <w:pPr>
              <w:jc w:val="center"/>
              <w:rPr>
                <w:b/>
                <w:color w:val="auto"/>
                <w:sz w:val="22"/>
                <w:szCs w:val="22"/>
              </w:rPr>
            </w:pPr>
            <w:r>
              <w:rPr>
                <w:b/>
                <w:color w:val="auto"/>
                <w:sz w:val="22"/>
                <w:szCs w:val="22"/>
              </w:rPr>
              <w:t>School Ethos</w:t>
            </w:r>
          </w:p>
        </w:tc>
        <w:tc>
          <w:tcPr>
            <w:tcW w:w="8653" w:type="dxa"/>
          </w:tcPr>
          <w:p>
            <w:pPr>
              <w:jc w:val="both"/>
              <w:rPr>
                <w:rFonts w:cs="TimesNewRoman"/>
                <w:color w:val="000000"/>
                <w:sz w:val="22"/>
                <w:szCs w:val="22"/>
                <w:lang w:val="en-GB" w:eastAsia="en-GB"/>
              </w:rPr>
            </w:pPr>
            <w:r>
              <w:rPr>
                <w:rFonts w:cs="TimesNewRoman"/>
                <w:color w:val="000000"/>
                <w:sz w:val="22"/>
                <w:szCs w:val="22"/>
                <w:lang w:val="en-GB" w:eastAsia="en-GB"/>
              </w:rPr>
              <w:t>The governors of St. Mary’s would encourage all staff to be involved in enrichment activities in line with the ethos of the school, specifically:</w:t>
            </w:r>
          </w:p>
          <w:p>
            <w:pPr>
              <w:jc w:val="both"/>
              <w:rPr>
                <w:rFonts w:cs="TimesNewRoman"/>
                <w:color w:val="000000"/>
                <w:sz w:val="22"/>
                <w:szCs w:val="22"/>
                <w:lang w:val="en-GB" w:eastAsia="en-GB"/>
              </w:rPr>
            </w:pPr>
            <w:r>
              <w:rPr>
                <w:rFonts w:cs="TimesNewRoman"/>
                <w:color w:val="000000"/>
                <w:sz w:val="22"/>
                <w:szCs w:val="22"/>
                <w:lang w:val="en-GB" w:eastAsia="en-GB"/>
              </w:rPr>
              <w:t>1.To play a full part in the school community, to support its distinctive Mission and to encourage students to follow this example.</w:t>
            </w:r>
          </w:p>
          <w:p>
            <w:pPr>
              <w:jc w:val="both"/>
              <w:rPr>
                <w:rFonts w:cs="TimesNewRoman"/>
                <w:color w:val="000000"/>
                <w:sz w:val="22"/>
                <w:szCs w:val="22"/>
                <w:lang w:val="en-GB" w:eastAsia="en-GB"/>
              </w:rPr>
            </w:pPr>
            <w:r>
              <w:rPr>
                <w:rFonts w:cs="TimesNewRoman"/>
                <w:color w:val="000000"/>
                <w:sz w:val="22"/>
                <w:szCs w:val="22"/>
                <w:lang w:val="en-GB" w:eastAsia="en-GB"/>
              </w:rPr>
              <w:t>2.To support the school in meeting its legal requirements for worship and to lead House acts of worship as requested.</w:t>
            </w:r>
          </w:p>
          <w:p>
            <w:pPr>
              <w:jc w:val="both"/>
              <w:rPr>
                <w:rFonts w:cs="TimesNewRoman"/>
                <w:color w:val="000000"/>
                <w:sz w:val="22"/>
                <w:szCs w:val="22"/>
                <w:lang w:val="en-GB" w:eastAsia="en-GB"/>
              </w:rPr>
            </w:pPr>
            <w:r>
              <w:rPr>
                <w:rFonts w:cs="TimesNewRoman"/>
                <w:color w:val="000000"/>
                <w:sz w:val="22"/>
                <w:szCs w:val="22"/>
                <w:lang w:val="en-GB" w:eastAsia="en-GB"/>
              </w:rPr>
              <w:t>3.To contribute significantly, where appropriate, to implementing the policies and practices of the school and to promote collective responsibility for their implementation.</w:t>
            </w:r>
          </w:p>
          <w:p>
            <w:pPr>
              <w:jc w:val="both"/>
              <w:rPr>
                <w:rFonts w:cs="TimesNewRoman"/>
                <w:color w:val="000000"/>
                <w:sz w:val="22"/>
                <w:szCs w:val="22"/>
                <w:lang w:val="en-GB" w:eastAsia="en-GB"/>
              </w:rPr>
            </w:pPr>
          </w:p>
        </w:tc>
      </w:tr>
      <w:tr>
        <w:tc>
          <w:tcPr>
            <w:tcW w:w="1792" w:type="dxa"/>
            <w:vAlign w:val="center"/>
          </w:tcPr>
          <w:p>
            <w:pPr>
              <w:jc w:val="center"/>
              <w:rPr>
                <w:b/>
                <w:color w:val="auto"/>
                <w:sz w:val="22"/>
                <w:szCs w:val="22"/>
              </w:rPr>
            </w:pPr>
          </w:p>
          <w:p>
            <w:pPr>
              <w:jc w:val="center"/>
              <w:rPr>
                <w:b/>
                <w:color w:val="auto"/>
                <w:sz w:val="22"/>
                <w:szCs w:val="22"/>
              </w:rPr>
            </w:pPr>
            <w:r>
              <w:rPr>
                <w:b/>
                <w:color w:val="auto"/>
                <w:sz w:val="22"/>
                <w:szCs w:val="22"/>
              </w:rPr>
              <w:t>Other</w:t>
            </w:r>
          </w:p>
        </w:tc>
        <w:tc>
          <w:tcPr>
            <w:tcW w:w="8653" w:type="dxa"/>
          </w:tcPr>
          <w:p>
            <w:pPr>
              <w:jc w:val="both"/>
              <w:rPr>
                <w:rFonts w:cs="TimesNewRoman"/>
                <w:color w:val="000000"/>
                <w:sz w:val="22"/>
                <w:szCs w:val="22"/>
                <w:lang w:val="en-GB" w:eastAsia="en-GB"/>
              </w:rPr>
            </w:pPr>
            <w:r>
              <w:rPr>
                <w:rFonts w:cs="TimesNewRoman"/>
                <w:color w:val="000000"/>
                <w:sz w:val="22"/>
                <w:szCs w:val="22"/>
                <w:lang w:val="en-GB" w:eastAsia="en-GB"/>
              </w:rPr>
              <w:t xml:space="preserve">1.Proactively participate with arrangements made in accordance with the Appraisal Regulations 2012 </w:t>
            </w:r>
          </w:p>
          <w:p>
            <w:pPr>
              <w:jc w:val="both"/>
              <w:rPr>
                <w:rFonts w:cs="TimesNewRoman"/>
                <w:color w:val="000000"/>
                <w:sz w:val="22"/>
                <w:szCs w:val="22"/>
                <w:lang w:val="en-GB" w:eastAsia="en-GB"/>
              </w:rPr>
            </w:pPr>
            <w:r>
              <w:rPr>
                <w:rFonts w:cs="TimesNewRoman"/>
                <w:color w:val="000000"/>
                <w:sz w:val="22"/>
                <w:szCs w:val="22"/>
                <w:lang w:val="en-GB" w:eastAsia="en-GB"/>
              </w:rPr>
              <w:t>2.Perform any reasonable duties as requested by the Head Teacher</w:t>
            </w:r>
          </w:p>
          <w:p>
            <w:pPr>
              <w:jc w:val="both"/>
              <w:rPr>
                <w:rFonts w:cs="TimesNewRoman"/>
                <w:color w:val="000000"/>
                <w:sz w:val="22"/>
                <w:szCs w:val="22"/>
                <w:lang w:val="en-GB" w:eastAsia="en-GB"/>
              </w:rPr>
            </w:pPr>
            <w:r>
              <w:rPr>
                <w:rFonts w:cs="TimesNewRoman"/>
                <w:color w:val="000000"/>
                <w:sz w:val="22"/>
                <w:szCs w:val="22"/>
                <w:lang w:val="en-GB" w:eastAsia="en-GB"/>
              </w:rPr>
              <w:t>3. Whilst every effort has been made to explain the main duties and responsibilities of the post, each individual task undertaken may not be identified.  The school will endeavour to make any necessary reasonable adjustments to the job and working environment to enable access to employment opportunities for disabled job applicants or continued employment for any employee who develops a disabling condition.</w:t>
            </w:r>
          </w:p>
          <w:p>
            <w:pPr>
              <w:jc w:val="both"/>
              <w:rPr>
                <w:rFonts w:cs="TimesNewRoman"/>
                <w:color w:val="000000"/>
                <w:sz w:val="22"/>
                <w:szCs w:val="22"/>
                <w:lang w:val="en-GB" w:eastAsia="en-GB"/>
              </w:rPr>
            </w:pPr>
          </w:p>
        </w:tc>
      </w:tr>
    </w:tbl>
    <w:p>
      <w:pPr>
        <w:spacing w:after="60" w:line="240" w:lineRule="auto"/>
        <w:jc w:val="center"/>
        <w:rPr>
          <w:rFonts w:cs="Arial"/>
          <w:b/>
          <w:color w:val="000000" w:themeColor="text1"/>
          <w:sz w:val="28"/>
          <w:szCs w:val="28"/>
        </w:rPr>
      </w:pPr>
    </w:p>
    <w:p>
      <w:pPr>
        <w:pStyle w:val="Heading4"/>
        <w:jc w:val="both"/>
        <w:rPr>
          <w:sz w:val="22"/>
        </w:rPr>
      </w:pPr>
      <w:r>
        <w:rPr>
          <w:sz w:val="22"/>
        </w:rPr>
        <w:t>Note</w:t>
      </w:r>
    </w:p>
    <w:p>
      <w:pPr>
        <w:jc w:val="both"/>
        <w:rPr>
          <w:rFonts w:cs="TimesNewRoman"/>
          <w:color w:val="000000"/>
          <w:sz w:val="22"/>
          <w:szCs w:val="22"/>
          <w:lang w:val="en-GB" w:eastAsia="en-GB"/>
        </w:rPr>
      </w:pPr>
      <w:r>
        <w:rPr>
          <w:rFonts w:cs="TimesNewRoman"/>
          <w:color w:val="000000"/>
          <w:sz w:val="22"/>
          <w:szCs w:val="22"/>
          <w:lang w:val="en-GB" w:eastAsia="en-GB"/>
        </w:rPr>
        <w:t>This job description is current at the date below but will be reviewed on an annual basis and, following consultation, may be changed to reflect or anticipate changes in the job requirements which are commensurate with the job title and grade.</w:t>
      </w:r>
    </w:p>
    <w:tbl>
      <w:tblPr>
        <w:tblW w:w="0" w:type="auto"/>
        <w:tblLook w:val="0000" w:firstRow="0" w:lastRow="0" w:firstColumn="0" w:lastColumn="0" w:noHBand="0" w:noVBand="0"/>
      </w:tblPr>
      <w:tblGrid>
        <w:gridCol w:w="3528"/>
        <w:gridCol w:w="3420"/>
        <w:gridCol w:w="900"/>
        <w:gridCol w:w="1393"/>
      </w:tblGrid>
      <w:tr>
        <w:tc>
          <w:tcPr>
            <w:tcW w:w="3528" w:type="dxa"/>
          </w:tcPr>
          <w:p>
            <w:pPr>
              <w:rPr>
                <w:rFonts w:ascii="Arial" w:hAnsi="Arial" w:cs="Arial"/>
                <w:b/>
                <w:color w:val="000080"/>
                <w:sz w:val="22"/>
                <w:szCs w:val="17"/>
              </w:rPr>
            </w:pPr>
          </w:p>
          <w:p>
            <w:pPr>
              <w:rPr>
                <w:rFonts w:ascii="Arial" w:hAnsi="Arial" w:cs="Arial"/>
                <w:b/>
                <w:color w:val="000080"/>
                <w:sz w:val="22"/>
                <w:szCs w:val="17"/>
              </w:rPr>
            </w:pPr>
            <w:r>
              <w:rPr>
                <w:rFonts w:ascii="Arial" w:hAnsi="Arial" w:cs="Arial"/>
                <w:b/>
                <w:color w:val="000080"/>
                <w:sz w:val="22"/>
                <w:szCs w:val="17"/>
              </w:rPr>
              <w:t>Signature of post holder:</w:t>
            </w:r>
          </w:p>
        </w:tc>
        <w:tc>
          <w:tcPr>
            <w:tcW w:w="3420" w:type="dxa"/>
            <w:tcBorders>
              <w:bottom w:val="dotted" w:sz="4" w:space="0" w:color="auto"/>
            </w:tcBorders>
          </w:tcPr>
          <w:p>
            <w:pPr>
              <w:rPr>
                <w:rFonts w:ascii="Arial" w:hAnsi="Arial" w:cs="Arial"/>
                <w:b/>
                <w:color w:val="000080"/>
                <w:sz w:val="22"/>
                <w:szCs w:val="17"/>
              </w:rPr>
            </w:pPr>
          </w:p>
          <w:p>
            <w:pPr>
              <w:rPr>
                <w:rFonts w:ascii="Arial" w:hAnsi="Arial" w:cs="Arial"/>
                <w:b/>
                <w:color w:val="000080"/>
                <w:sz w:val="22"/>
                <w:szCs w:val="17"/>
              </w:rPr>
            </w:pPr>
          </w:p>
        </w:tc>
        <w:tc>
          <w:tcPr>
            <w:tcW w:w="900" w:type="dxa"/>
          </w:tcPr>
          <w:p>
            <w:pPr>
              <w:rPr>
                <w:rFonts w:ascii="Arial" w:hAnsi="Arial" w:cs="Arial"/>
                <w:b/>
                <w:color w:val="000080"/>
                <w:sz w:val="22"/>
                <w:szCs w:val="17"/>
              </w:rPr>
            </w:pPr>
          </w:p>
          <w:p>
            <w:pPr>
              <w:rPr>
                <w:rFonts w:ascii="Arial" w:hAnsi="Arial" w:cs="Arial"/>
                <w:b/>
                <w:color w:val="000080"/>
                <w:sz w:val="22"/>
                <w:szCs w:val="17"/>
              </w:rPr>
            </w:pPr>
            <w:r>
              <w:rPr>
                <w:rFonts w:ascii="Arial" w:hAnsi="Arial" w:cs="Arial"/>
                <w:b/>
                <w:color w:val="000080"/>
                <w:sz w:val="22"/>
                <w:szCs w:val="17"/>
              </w:rPr>
              <w:t>Date:</w:t>
            </w:r>
          </w:p>
        </w:tc>
        <w:tc>
          <w:tcPr>
            <w:tcW w:w="1393" w:type="dxa"/>
            <w:tcBorders>
              <w:bottom w:val="dotted" w:sz="4" w:space="0" w:color="auto"/>
            </w:tcBorders>
          </w:tcPr>
          <w:p>
            <w:pPr>
              <w:rPr>
                <w:rFonts w:ascii="Arial" w:hAnsi="Arial" w:cs="Arial"/>
                <w:b/>
                <w:color w:val="000080"/>
                <w:sz w:val="22"/>
                <w:szCs w:val="17"/>
              </w:rPr>
            </w:pPr>
            <w:r>
              <w:rPr>
                <w:rFonts w:ascii="Arial" w:hAnsi="Arial" w:cs="Arial"/>
                <w:b/>
                <w:color w:val="000080"/>
                <w:sz w:val="22"/>
                <w:szCs w:val="17"/>
              </w:rPr>
              <w:t xml:space="preserve">     </w:t>
            </w:r>
          </w:p>
          <w:p>
            <w:pPr>
              <w:rPr>
                <w:rFonts w:ascii="Arial" w:hAnsi="Arial" w:cs="Arial"/>
                <w:b/>
                <w:color w:val="000080"/>
                <w:sz w:val="22"/>
                <w:szCs w:val="17"/>
              </w:rPr>
            </w:pPr>
            <w:r>
              <w:rPr>
                <w:rFonts w:ascii="Arial" w:hAnsi="Arial" w:cs="Arial"/>
                <w:b/>
                <w:color w:val="000080"/>
                <w:sz w:val="22"/>
                <w:szCs w:val="17"/>
              </w:rPr>
              <w:t xml:space="preserve">     /        /</w:t>
            </w:r>
          </w:p>
        </w:tc>
      </w:tr>
      <w:tr>
        <w:tc>
          <w:tcPr>
            <w:tcW w:w="3528" w:type="dxa"/>
          </w:tcPr>
          <w:p>
            <w:pPr>
              <w:rPr>
                <w:rFonts w:ascii="Arial" w:hAnsi="Arial" w:cs="Arial"/>
                <w:b/>
                <w:color w:val="000080"/>
                <w:sz w:val="22"/>
                <w:szCs w:val="17"/>
              </w:rPr>
            </w:pPr>
          </w:p>
          <w:p>
            <w:pPr>
              <w:rPr>
                <w:rFonts w:ascii="Arial" w:hAnsi="Arial" w:cs="Arial"/>
                <w:b/>
                <w:color w:val="000080"/>
                <w:sz w:val="22"/>
                <w:szCs w:val="17"/>
              </w:rPr>
            </w:pPr>
          </w:p>
          <w:p>
            <w:pPr>
              <w:rPr>
                <w:rFonts w:ascii="Arial" w:hAnsi="Arial" w:cs="Arial"/>
                <w:b/>
                <w:color w:val="000080"/>
                <w:sz w:val="22"/>
                <w:szCs w:val="17"/>
              </w:rPr>
            </w:pPr>
            <w:r>
              <w:rPr>
                <w:rFonts w:ascii="Arial" w:hAnsi="Arial" w:cs="Arial"/>
                <w:b/>
                <w:color w:val="000080"/>
                <w:sz w:val="22"/>
                <w:szCs w:val="17"/>
              </w:rPr>
              <w:t>Signature of Head Teacher:</w:t>
            </w:r>
          </w:p>
        </w:tc>
        <w:tc>
          <w:tcPr>
            <w:tcW w:w="3420" w:type="dxa"/>
            <w:tcBorders>
              <w:top w:val="dotted" w:sz="4" w:space="0" w:color="auto"/>
              <w:bottom w:val="dotted" w:sz="4" w:space="0" w:color="auto"/>
            </w:tcBorders>
          </w:tcPr>
          <w:p>
            <w:pPr>
              <w:rPr>
                <w:rFonts w:ascii="Arial" w:hAnsi="Arial" w:cs="Arial"/>
                <w:b/>
                <w:color w:val="000080"/>
                <w:sz w:val="22"/>
                <w:szCs w:val="17"/>
              </w:rPr>
            </w:pPr>
          </w:p>
          <w:p>
            <w:pPr>
              <w:rPr>
                <w:rFonts w:ascii="Arial" w:hAnsi="Arial" w:cs="Arial"/>
                <w:b/>
                <w:color w:val="000080"/>
                <w:sz w:val="22"/>
                <w:szCs w:val="17"/>
              </w:rPr>
            </w:pPr>
          </w:p>
          <w:p>
            <w:pPr>
              <w:rPr>
                <w:rFonts w:ascii="Arial" w:hAnsi="Arial" w:cs="Arial"/>
                <w:b/>
                <w:color w:val="000080"/>
                <w:sz w:val="22"/>
                <w:szCs w:val="17"/>
              </w:rPr>
            </w:pPr>
          </w:p>
        </w:tc>
        <w:tc>
          <w:tcPr>
            <w:tcW w:w="900" w:type="dxa"/>
          </w:tcPr>
          <w:p>
            <w:pPr>
              <w:rPr>
                <w:rFonts w:ascii="Arial" w:hAnsi="Arial" w:cs="Arial"/>
                <w:b/>
                <w:color w:val="000080"/>
                <w:sz w:val="22"/>
                <w:szCs w:val="17"/>
              </w:rPr>
            </w:pPr>
          </w:p>
          <w:p>
            <w:pPr>
              <w:rPr>
                <w:rFonts w:ascii="Arial" w:hAnsi="Arial" w:cs="Arial"/>
                <w:b/>
                <w:color w:val="000080"/>
                <w:sz w:val="22"/>
                <w:szCs w:val="17"/>
              </w:rPr>
            </w:pPr>
          </w:p>
          <w:p>
            <w:pPr>
              <w:rPr>
                <w:rFonts w:ascii="Arial" w:hAnsi="Arial" w:cs="Arial"/>
                <w:b/>
                <w:color w:val="000080"/>
                <w:sz w:val="22"/>
                <w:szCs w:val="17"/>
              </w:rPr>
            </w:pPr>
            <w:r>
              <w:rPr>
                <w:rFonts w:ascii="Arial" w:hAnsi="Arial" w:cs="Arial"/>
                <w:b/>
                <w:color w:val="000080"/>
                <w:sz w:val="22"/>
                <w:szCs w:val="17"/>
              </w:rPr>
              <w:t>Date:</w:t>
            </w:r>
          </w:p>
        </w:tc>
        <w:tc>
          <w:tcPr>
            <w:tcW w:w="1393" w:type="dxa"/>
            <w:tcBorders>
              <w:top w:val="dotted" w:sz="4" w:space="0" w:color="auto"/>
              <w:bottom w:val="dotted" w:sz="4" w:space="0" w:color="auto"/>
            </w:tcBorders>
          </w:tcPr>
          <w:p>
            <w:pPr>
              <w:rPr>
                <w:rFonts w:ascii="Arial" w:hAnsi="Arial" w:cs="Arial"/>
                <w:b/>
                <w:color w:val="000080"/>
                <w:sz w:val="22"/>
                <w:szCs w:val="17"/>
              </w:rPr>
            </w:pPr>
            <w:r>
              <w:rPr>
                <w:rFonts w:ascii="Arial" w:hAnsi="Arial" w:cs="Arial"/>
                <w:b/>
                <w:color w:val="000080"/>
                <w:sz w:val="22"/>
                <w:szCs w:val="17"/>
              </w:rPr>
              <w:t xml:space="preserve">    </w:t>
            </w:r>
          </w:p>
          <w:p>
            <w:pPr>
              <w:rPr>
                <w:rFonts w:ascii="Arial" w:hAnsi="Arial" w:cs="Arial"/>
                <w:b/>
                <w:color w:val="000080"/>
                <w:sz w:val="22"/>
                <w:szCs w:val="17"/>
              </w:rPr>
            </w:pPr>
          </w:p>
          <w:p>
            <w:pPr>
              <w:rPr>
                <w:rFonts w:ascii="Arial" w:hAnsi="Arial" w:cs="Arial"/>
                <w:b/>
                <w:color w:val="000080"/>
                <w:sz w:val="22"/>
                <w:szCs w:val="17"/>
              </w:rPr>
            </w:pPr>
            <w:r>
              <w:rPr>
                <w:rFonts w:ascii="Arial" w:hAnsi="Arial" w:cs="Arial"/>
                <w:b/>
                <w:color w:val="000080"/>
                <w:sz w:val="22"/>
                <w:szCs w:val="17"/>
              </w:rPr>
              <w:t xml:space="preserve">    /        /</w:t>
            </w:r>
          </w:p>
        </w:tc>
      </w:tr>
    </w:tbl>
    <w:p>
      <w:pPr>
        <w:pStyle w:val="Heading4"/>
        <w:jc w:val="both"/>
        <w:rPr>
          <w:rFonts w:ascii="Arial" w:hAnsi="Arial" w:cs="Arial"/>
        </w:rPr>
      </w:pPr>
      <w:r>
        <w:rPr>
          <w:rFonts w:cs="Arial"/>
          <w:b/>
          <w:color w:val="000000" w:themeColor="text1"/>
          <w:sz w:val="28"/>
          <w:szCs w:val="28"/>
        </w:rPr>
        <w:br w:type="page"/>
      </w:r>
      <w:r>
        <w:rPr>
          <w:rFonts w:ascii="Arial" w:hAnsi="Arial" w:cs="Arial"/>
        </w:rPr>
        <w:t xml:space="preserve"> </w:t>
      </w:r>
    </w:p>
    <w:p>
      <w:pPr>
        <w:rPr>
          <w:rFonts w:cs="Arial"/>
          <w:b/>
          <w:color w:val="000000" w:themeColor="text1"/>
          <w:sz w:val="28"/>
          <w:szCs w:val="28"/>
        </w:rPr>
      </w:pPr>
    </w:p>
    <w:p>
      <w:pPr>
        <w:spacing w:after="60" w:line="240" w:lineRule="auto"/>
        <w:jc w:val="center"/>
        <w:rPr>
          <w:rFonts w:cs="Arial"/>
          <w:b/>
          <w:color w:val="000000" w:themeColor="text1"/>
          <w:sz w:val="28"/>
          <w:szCs w:val="28"/>
        </w:rPr>
      </w:pPr>
      <w:r>
        <w:rPr>
          <w:rFonts w:cs="Arial"/>
          <w:b/>
          <w:color w:val="000000" w:themeColor="text1"/>
          <w:sz w:val="28"/>
          <w:szCs w:val="28"/>
        </w:rPr>
        <w:t>Person Specification</w:t>
      </w:r>
    </w:p>
    <w:p>
      <w:pPr>
        <w:spacing w:after="0"/>
        <w:jc w:val="center"/>
        <w:rPr>
          <w:rFonts w:cstheme="minorHAnsi"/>
          <w:b/>
          <w:color w:val="C00000"/>
          <w:sz w:val="36"/>
          <w:szCs w:val="36"/>
        </w:rPr>
      </w:pPr>
      <w:r>
        <w:rPr>
          <w:rFonts w:cstheme="minorHAnsi"/>
          <w:b/>
          <w:color w:val="C00000"/>
          <w:sz w:val="36"/>
          <w:szCs w:val="36"/>
        </w:rPr>
        <w:t>Temporary Teacher of Mathematics</w:t>
      </w:r>
    </w:p>
    <w:p>
      <w:pPr>
        <w:spacing w:after="0"/>
        <w:jc w:val="center"/>
        <w:rPr>
          <w:rFonts w:cstheme="minorHAnsi"/>
          <w:b/>
          <w:color w:val="C00000"/>
          <w:sz w:val="36"/>
          <w:szCs w:val="36"/>
        </w:rPr>
      </w:pPr>
      <w:r>
        <w:rPr>
          <w:rFonts w:cstheme="minorHAnsi"/>
          <w:b/>
          <w:color w:val="C00000"/>
          <w:sz w:val="36"/>
          <w:szCs w:val="36"/>
        </w:rPr>
        <w:t>Brownedge St Mary`s Catholic High School</w:t>
      </w:r>
    </w:p>
    <w:p>
      <w:pPr>
        <w:jc w:val="center"/>
        <w:rPr>
          <w:rFonts w:ascii="Arial" w:hAnsi="Arial" w:cs="Arial"/>
          <w:b/>
          <w:bCs/>
          <w:sz w:val="22"/>
          <w:szCs w:val="22"/>
        </w:rPr>
      </w:pPr>
    </w:p>
    <w:p>
      <w:pPr>
        <w:rPr>
          <w:color w:val="auto"/>
          <w:sz w:val="22"/>
          <w:szCs w:val="22"/>
        </w:rPr>
      </w:pPr>
      <w:r>
        <w:rPr>
          <w:color w:val="auto"/>
          <w:sz w:val="22"/>
          <w:szCs w:val="22"/>
        </w:rPr>
        <w:t xml:space="preserve">As a Roman Catholic School, this post requires the successful candidate to be fully supportive of the Christian mission of the school. </w:t>
      </w:r>
    </w:p>
    <w:p>
      <w:pPr>
        <w:rPr>
          <w:color w:val="auto"/>
          <w:sz w:val="22"/>
          <w:szCs w:val="22"/>
        </w:rPr>
      </w:pPr>
      <w:r>
        <w:rPr>
          <w:color w:val="auto"/>
          <w:sz w:val="22"/>
          <w:szCs w:val="22"/>
        </w:rPr>
        <w:t xml:space="preserve">Brownedge St. Mary’s Catholic High School is committed the safeguarding and welfare of its children and young people. The successful candidate will need to share fully in this commitment. </w:t>
      </w:r>
    </w:p>
    <w:p>
      <w:pPr>
        <w:rPr>
          <w:color w:val="auto"/>
          <w:sz w:val="22"/>
          <w:szCs w:val="22"/>
        </w:rPr>
      </w:pPr>
      <w:r>
        <w:rPr>
          <w:color w:val="auto"/>
          <w:sz w:val="22"/>
          <w:szCs w:val="22"/>
        </w:rPr>
        <w:t xml:space="preserve">Governors will consider applications on the basis of each candidate’s ability to meet the criteria below. </w:t>
      </w:r>
    </w:p>
    <w:p>
      <w:pPr>
        <w:rPr>
          <w:color w:val="auto"/>
          <w:sz w:val="22"/>
          <w:szCs w:val="22"/>
        </w:rPr>
      </w:pPr>
      <w:r>
        <w:rPr>
          <w:color w:val="auto"/>
          <w:sz w:val="22"/>
          <w:szCs w:val="22"/>
        </w:rPr>
        <w:t>Criteria are classed as Essential (E) or Desirable (D). Criteria will be evidenced through Application Form / Supporting Statement (A) Interview (I) Letter (L) and References (R)</w:t>
      </w:r>
    </w:p>
    <w:p>
      <w:pPr>
        <w:rPr>
          <w:rFonts w:ascii="Arial" w:hAnsi="Arial" w:cs="Arial"/>
          <w:sz w:val="22"/>
          <w:szCs w:val="22"/>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6507"/>
        <w:gridCol w:w="709"/>
        <w:gridCol w:w="724"/>
      </w:tblGrid>
      <w:tr>
        <w:trPr>
          <w:trHeight w:val="525"/>
        </w:trPr>
        <w:tc>
          <w:tcPr>
            <w:tcW w:w="2086" w:type="dxa"/>
            <w:vAlign w:val="center"/>
          </w:tcPr>
          <w:p>
            <w:pPr>
              <w:pStyle w:val="BodyText"/>
              <w:rPr>
                <w:rFonts w:asciiTheme="minorHAnsi" w:hAnsiTheme="minorHAnsi" w:cs="Arial"/>
                <w:b/>
                <w:bCs/>
                <w:sz w:val="22"/>
                <w:szCs w:val="22"/>
              </w:rPr>
            </w:pPr>
          </w:p>
        </w:tc>
        <w:tc>
          <w:tcPr>
            <w:tcW w:w="6520" w:type="dxa"/>
            <w:vAlign w:val="center"/>
          </w:tcPr>
          <w:p>
            <w:pPr>
              <w:pStyle w:val="BodyText"/>
              <w:rPr>
                <w:rFonts w:asciiTheme="minorHAnsi" w:hAnsiTheme="minorHAnsi" w:cs="Arial"/>
                <w:sz w:val="22"/>
                <w:szCs w:val="22"/>
              </w:rPr>
            </w:pPr>
          </w:p>
        </w:tc>
        <w:tc>
          <w:tcPr>
            <w:tcW w:w="709" w:type="dxa"/>
            <w:vAlign w:val="center"/>
          </w:tcPr>
          <w:p>
            <w:pPr>
              <w:pStyle w:val="BodyText"/>
              <w:jc w:val="center"/>
              <w:rPr>
                <w:rFonts w:asciiTheme="minorHAnsi" w:hAnsiTheme="minorHAnsi" w:cs="Arial"/>
                <w:b/>
                <w:bCs/>
                <w:sz w:val="22"/>
                <w:szCs w:val="22"/>
              </w:rPr>
            </w:pPr>
            <w:r>
              <w:rPr>
                <w:rFonts w:asciiTheme="minorHAnsi" w:hAnsiTheme="minorHAnsi" w:cs="Arial"/>
                <w:b/>
                <w:bCs/>
                <w:sz w:val="22"/>
                <w:szCs w:val="22"/>
              </w:rPr>
              <w:t>E/D</w:t>
            </w:r>
          </w:p>
        </w:tc>
        <w:tc>
          <w:tcPr>
            <w:tcW w:w="709" w:type="dxa"/>
            <w:vAlign w:val="center"/>
          </w:tcPr>
          <w:p>
            <w:pPr>
              <w:pStyle w:val="BodyText"/>
              <w:jc w:val="center"/>
              <w:rPr>
                <w:rFonts w:asciiTheme="minorHAnsi" w:hAnsiTheme="minorHAnsi" w:cs="Arial"/>
                <w:b/>
                <w:bCs/>
                <w:sz w:val="22"/>
                <w:szCs w:val="22"/>
              </w:rPr>
            </w:pPr>
            <w:r>
              <w:rPr>
                <w:rFonts w:asciiTheme="minorHAnsi" w:hAnsiTheme="minorHAnsi" w:cs="Arial"/>
                <w:b/>
                <w:bCs/>
                <w:sz w:val="22"/>
                <w:szCs w:val="22"/>
              </w:rPr>
              <w:t>A/I/R</w:t>
            </w:r>
          </w:p>
        </w:tc>
      </w:tr>
      <w:tr>
        <w:trPr>
          <w:trHeight w:val="525"/>
        </w:trPr>
        <w:tc>
          <w:tcPr>
            <w:tcW w:w="2086" w:type="dxa"/>
            <w:vAlign w:val="center"/>
          </w:tcPr>
          <w:p>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Faith Commitment</w:t>
            </w:r>
          </w:p>
        </w:tc>
        <w:tc>
          <w:tcPr>
            <w:tcW w:w="6520" w:type="dxa"/>
            <w:vAlign w:val="center"/>
          </w:tcPr>
          <w:p>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Fully supportive of the catholic ethos of the school</w:t>
            </w:r>
          </w:p>
        </w:tc>
        <w:tc>
          <w:tcPr>
            <w:tcW w:w="709" w:type="dxa"/>
            <w:vAlign w:val="center"/>
          </w:tcPr>
          <w:p>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E</w:t>
            </w:r>
          </w:p>
        </w:tc>
        <w:tc>
          <w:tcPr>
            <w:tcW w:w="709" w:type="dxa"/>
            <w:vAlign w:val="center"/>
          </w:tcPr>
          <w:p>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A</w:t>
            </w:r>
          </w:p>
        </w:tc>
      </w:tr>
      <w:tr>
        <w:trPr>
          <w:trHeight w:val="435"/>
        </w:trPr>
        <w:tc>
          <w:tcPr>
            <w:tcW w:w="2086" w:type="dxa"/>
            <w:vMerge w:val="restart"/>
            <w:vAlign w:val="center"/>
          </w:tcPr>
          <w:p>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 xml:space="preserve">Qualifications, Experience and Professional Development </w:t>
            </w:r>
          </w:p>
        </w:tc>
        <w:tc>
          <w:tcPr>
            <w:tcW w:w="6520" w:type="dxa"/>
            <w:vAlign w:val="center"/>
          </w:tcPr>
          <w:p>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Qualified Teacher Status</w:t>
            </w:r>
          </w:p>
        </w:tc>
        <w:tc>
          <w:tcPr>
            <w:tcW w:w="709" w:type="dxa"/>
            <w:vAlign w:val="center"/>
          </w:tcPr>
          <w:p>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E</w:t>
            </w:r>
          </w:p>
        </w:tc>
        <w:tc>
          <w:tcPr>
            <w:tcW w:w="709" w:type="dxa"/>
            <w:vAlign w:val="center"/>
          </w:tcPr>
          <w:p>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A</w:t>
            </w:r>
          </w:p>
        </w:tc>
      </w:tr>
      <w:tr>
        <w:trPr>
          <w:trHeight w:val="435"/>
        </w:trPr>
        <w:tc>
          <w:tcPr>
            <w:tcW w:w="2086" w:type="dxa"/>
            <w:vMerge/>
            <w:vAlign w:val="center"/>
          </w:tcPr>
          <w:p>
            <w:pPr>
              <w:pStyle w:val="BodyText"/>
              <w:spacing w:beforeLines="20" w:before="48" w:afterLines="20" w:after="48"/>
              <w:rPr>
                <w:rFonts w:asciiTheme="minorHAnsi" w:hAnsiTheme="minorHAnsi" w:cs="Arial"/>
                <w:b/>
                <w:bCs/>
                <w:sz w:val="22"/>
                <w:szCs w:val="22"/>
              </w:rPr>
            </w:pPr>
          </w:p>
        </w:tc>
        <w:tc>
          <w:tcPr>
            <w:tcW w:w="6520" w:type="dxa"/>
          </w:tcPr>
          <w:p>
            <w:pPr>
              <w:rPr>
                <w:szCs w:val="24"/>
              </w:rPr>
            </w:pPr>
            <w:r>
              <w:rPr>
                <w:szCs w:val="24"/>
              </w:rPr>
              <w:t>Degree or Equivalent / Appropriate Mathematics Qualification</w:t>
            </w:r>
          </w:p>
        </w:tc>
        <w:tc>
          <w:tcPr>
            <w:tcW w:w="709" w:type="dxa"/>
            <w:vAlign w:val="center"/>
          </w:tcPr>
          <w:p>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E</w:t>
            </w:r>
          </w:p>
        </w:tc>
        <w:tc>
          <w:tcPr>
            <w:tcW w:w="709" w:type="dxa"/>
            <w:vAlign w:val="center"/>
          </w:tcPr>
          <w:p>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A</w:t>
            </w:r>
          </w:p>
        </w:tc>
      </w:tr>
      <w:tr>
        <w:trPr>
          <w:trHeight w:val="435"/>
        </w:trPr>
        <w:tc>
          <w:tcPr>
            <w:tcW w:w="2086" w:type="dxa"/>
            <w:vMerge/>
            <w:vAlign w:val="center"/>
          </w:tcPr>
          <w:p>
            <w:pPr>
              <w:pStyle w:val="BodyText"/>
              <w:spacing w:beforeLines="20" w:before="48" w:afterLines="20" w:after="48"/>
              <w:rPr>
                <w:rFonts w:asciiTheme="minorHAnsi" w:hAnsiTheme="minorHAnsi" w:cs="Arial"/>
                <w:b/>
                <w:bCs/>
                <w:sz w:val="22"/>
                <w:szCs w:val="22"/>
              </w:rPr>
            </w:pPr>
          </w:p>
        </w:tc>
        <w:tc>
          <w:tcPr>
            <w:tcW w:w="6520" w:type="dxa"/>
            <w:vAlign w:val="center"/>
          </w:tcPr>
          <w:p>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Ability to teach Mathematics to KS3 and KS4</w:t>
            </w:r>
          </w:p>
        </w:tc>
        <w:tc>
          <w:tcPr>
            <w:tcW w:w="709" w:type="dxa"/>
          </w:tcPr>
          <w:p>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D</w:t>
            </w:r>
          </w:p>
        </w:tc>
        <w:tc>
          <w:tcPr>
            <w:tcW w:w="709" w:type="dxa"/>
          </w:tcPr>
          <w:p>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 xml:space="preserve">A, L, R, I, </w:t>
            </w:r>
          </w:p>
        </w:tc>
      </w:tr>
      <w:tr>
        <w:trPr>
          <w:trHeight w:val="435"/>
        </w:trPr>
        <w:tc>
          <w:tcPr>
            <w:tcW w:w="2086" w:type="dxa"/>
            <w:vMerge/>
            <w:vAlign w:val="center"/>
          </w:tcPr>
          <w:p>
            <w:pPr>
              <w:pStyle w:val="BodyText"/>
              <w:spacing w:beforeLines="20" w:before="48" w:afterLines="20" w:after="48"/>
              <w:rPr>
                <w:rFonts w:asciiTheme="minorHAnsi" w:hAnsiTheme="minorHAnsi" w:cs="Arial"/>
                <w:b/>
                <w:bCs/>
                <w:sz w:val="22"/>
                <w:szCs w:val="22"/>
              </w:rPr>
            </w:pPr>
          </w:p>
        </w:tc>
        <w:tc>
          <w:tcPr>
            <w:tcW w:w="6520" w:type="dxa"/>
            <w:vAlign w:val="center"/>
          </w:tcPr>
          <w:p>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Excellent classroom practitioner with potential to be ‘outstanding’</w:t>
            </w:r>
          </w:p>
        </w:tc>
        <w:tc>
          <w:tcPr>
            <w:tcW w:w="709" w:type="dxa"/>
            <w:vAlign w:val="center"/>
          </w:tcPr>
          <w:p>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E</w:t>
            </w:r>
          </w:p>
        </w:tc>
        <w:tc>
          <w:tcPr>
            <w:tcW w:w="709" w:type="dxa"/>
            <w:vAlign w:val="center"/>
          </w:tcPr>
          <w:p>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proofErr w:type="gramStart"/>
            <w:r>
              <w:rPr>
                <w:rFonts w:asciiTheme="minorHAnsi" w:eastAsiaTheme="minorEastAsia" w:hAnsiTheme="minorHAnsi" w:cstheme="minorBidi"/>
                <w:color w:val="404040" w:themeColor="text1" w:themeTint="BF"/>
                <w:lang w:val="en-US" w:eastAsia="ja-JP"/>
              </w:rPr>
              <w:t>A,I</w:t>
            </w:r>
            <w:proofErr w:type="gramEnd"/>
            <w:r>
              <w:rPr>
                <w:rFonts w:asciiTheme="minorHAnsi" w:eastAsiaTheme="minorEastAsia" w:hAnsiTheme="minorHAnsi" w:cstheme="minorBidi"/>
                <w:color w:val="404040" w:themeColor="text1" w:themeTint="BF"/>
                <w:lang w:val="en-US" w:eastAsia="ja-JP"/>
              </w:rPr>
              <w:t>,R</w:t>
            </w:r>
          </w:p>
        </w:tc>
      </w:tr>
      <w:tr>
        <w:trPr>
          <w:trHeight w:val="435"/>
        </w:trPr>
        <w:tc>
          <w:tcPr>
            <w:tcW w:w="2086" w:type="dxa"/>
            <w:vMerge/>
            <w:vAlign w:val="center"/>
          </w:tcPr>
          <w:p>
            <w:pPr>
              <w:pStyle w:val="BodyText"/>
              <w:spacing w:beforeLines="20" w:before="48" w:afterLines="20" w:after="48"/>
              <w:rPr>
                <w:rFonts w:asciiTheme="minorHAnsi" w:hAnsiTheme="minorHAnsi" w:cs="Arial"/>
                <w:b/>
                <w:bCs/>
                <w:sz w:val="22"/>
                <w:szCs w:val="22"/>
              </w:rPr>
            </w:pPr>
          </w:p>
        </w:tc>
        <w:tc>
          <w:tcPr>
            <w:tcW w:w="6520" w:type="dxa"/>
          </w:tcPr>
          <w:p>
            <w:pPr>
              <w:rPr>
                <w:szCs w:val="24"/>
              </w:rPr>
            </w:pPr>
            <w:r>
              <w:rPr>
                <w:szCs w:val="24"/>
              </w:rPr>
              <w:t>Commitment to further professional development</w:t>
            </w:r>
          </w:p>
        </w:tc>
        <w:tc>
          <w:tcPr>
            <w:tcW w:w="709" w:type="dxa"/>
          </w:tcPr>
          <w:p>
            <w:pPr>
              <w:jc w:val="center"/>
              <w:rPr>
                <w:szCs w:val="24"/>
              </w:rPr>
            </w:pPr>
            <w:r>
              <w:rPr>
                <w:szCs w:val="24"/>
              </w:rPr>
              <w:t>D</w:t>
            </w:r>
          </w:p>
        </w:tc>
        <w:tc>
          <w:tcPr>
            <w:tcW w:w="709" w:type="dxa"/>
          </w:tcPr>
          <w:p>
            <w:pPr>
              <w:jc w:val="center"/>
              <w:rPr>
                <w:szCs w:val="24"/>
              </w:rPr>
            </w:pPr>
            <w:r>
              <w:rPr>
                <w:szCs w:val="24"/>
              </w:rPr>
              <w:t>I</w:t>
            </w:r>
          </w:p>
        </w:tc>
      </w:tr>
      <w:tr>
        <w:trPr>
          <w:trHeight w:val="95"/>
        </w:trPr>
        <w:tc>
          <w:tcPr>
            <w:tcW w:w="2086" w:type="dxa"/>
            <w:vMerge w:val="restart"/>
            <w:vAlign w:val="center"/>
          </w:tcPr>
          <w:p>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 xml:space="preserve">Professional Knowledge and Understanding </w:t>
            </w:r>
          </w:p>
        </w:tc>
        <w:tc>
          <w:tcPr>
            <w:tcW w:w="6520" w:type="dxa"/>
          </w:tcPr>
          <w:p>
            <w:pPr>
              <w:rPr>
                <w:szCs w:val="24"/>
              </w:rPr>
            </w:pPr>
            <w:r>
              <w:rPr>
                <w:szCs w:val="24"/>
              </w:rPr>
              <w:t>Awareness of recent developments in math’s education</w:t>
            </w:r>
          </w:p>
        </w:tc>
        <w:tc>
          <w:tcPr>
            <w:tcW w:w="709" w:type="dxa"/>
          </w:tcPr>
          <w:p>
            <w:pPr>
              <w:jc w:val="center"/>
              <w:rPr>
                <w:szCs w:val="24"/>
              </w:rPr>
            </w:pPr>
            <w:r>
              <w:rPr>
                <w:szCs w:val="24"/>
              </w:rPr>
              <w:t>E</w:t>
            </w:r>
          </w:p>
        </w:tc>
        <w:tc>
          <w:tcPr>
            <w:tcW w:w="709" w:type="dxa"/>
          </w:tcPr>
          <w:p>
            <w:pPr>
              <w:jc w:val="center"/>
              <w:rPr>
                <w:szCs w:val="24"/>
              </w:rPr>
            </w:pPr>
            <w:proofErr w:type="gramStart"/>
            <w:r>
              <w:rPr>
                <w:szCs w:val="24"/>
              </w:rPr>
              <w:t>L,I</w:t>
            </w:r>
            <w:proofErr w:type="gramEnd"/>
          </w:p>
        </w:tc>
      </w:tr>
      <w:tr>
        <w:trPr>
          <w:trHeight w:val="95"/>
        </w:trPr>
        <w:tc>
          <w:tcPr>
            <w:tcW w:w="2086" w:type="dxa"/>
            <w:vMerge/>
            <w:vAlign w:val="center"/>
          </w:tcPr>
          <w:p>
            <w:pPr>
              <w:pStyle w:val="BodyText"/>
              <w:spacing w:beforeLines="20" w:before="48" w:afterLines="20" w:after="48"/>
              <w:rPr>
                <w:rFonts w:asciiTheme="minorHAnsi" w:hAnsiTheme="minorHAnsi" w:cs="Arial"/>
                <w:b/>
                <w:bCs/>
                <w:sz w:val="22"/>
                <w:szCs w:val="22"/>
              </w:rPr>
            </w:pPr>
          </w:p>
        </w:tc>
        <w:tc>
          <w:tcPr>
            <w:tcW w:w="6520" w:type="dxa"/>
          </w:tcPr>
          <w:p>
            <w:pPr>
              <w:rPr>
                <w:szCs w:val="24"/>
              </w:rPr>
            </w:pPr>
            <w:r>
              <w:rPr>
                <w:szCs w:val="24"/>
              </w:rPr>
              <w:t>Competent in the use of ICT for learning, teaching and administration</w:t>
            </w:r>
          </w:p>
        </w:tc>
        <w:tc>
          <w:tcPr>
            <w:tcW w:w="709" w:type="dxa"/>
          </w:tcPr>
          <w:p>
            <w:pPr>
              <w:jc w:val="center"/>
              <w:rPr>
                <w:szCs w:val="24"/>
              </w:rPr>
            </w:pPr>
            <w:r>
              <w:rPr>
                <w:szCs w:val="24"/>
              </w:rPr>
              <w:t>D</w:t>
            </w:r>
          </w:p>
        </w:tc>
        <w:tc>
          <w:tcPr>
            <w:tcW w:w="709" w:type="dxa"/>
          </w:tcPr>
          <w:p>
            <w:pPr>
              <w:jc w:val="center"/>
              <w:rPr>
                <w:szCs w:val="24"/>
              </w:rPr>
            </w:pPr>
            <w:proofErr w:type="gramStart"/>
            <w:r>
              <w:rPr>
                <w:szCs w:val="24"/>
              </w:rPr>
              <w:t>L,I</w:t>
            </w:r>
            <w:proofErr w:type="gramEnd"/>
          </w:p>
        </w:tc>
      </w:tr>
      <w:tr>
        <w:trPr>
          <w:trHeight w:val="60"/>
        </w:trPr>
        <w:tc>
          <w:tcPr>
            <w:tcW w:w="2086" w:type="dxa"/>
            <w:vMerge w:val="restart"/>
            <w:vAlign w:val="center"/>
          </w:tcPr>
          <w:p>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Personal Skills and Attributes</w:t>
            </w:r>
          </w:p>
          <w:p>
            <w:pPr>
              <w:pStyle w:val="BodyText"/>
              <w:spacing w:beforeLines="20" w:before="48" w:afterLines="20" w:after="48"/>
              <w:rPr>
                <w:rFonts w:asciiTheme="minorHAnsi" w:hAnsiTheme="minorHAnsi" w:cs="Arial"/>
                <w:b/>
                <w:bCs/>
                <w:sz w:val="22"/>
                <w:szCs w:val="22"/>
              </w:rPr>
            </w:pPr>
          </w:p>
        </w:tc>
        <w:tc>
          <w:tcPr>
            <w:tcW w:w="7938" w:type="dxa"/>
            <w:gridSpan w:val="3"/>
            <w:vAlign w:val="center"/>
          </w:tcPr>
          <w:p>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 xml:space="preserve">The ability to: </w:t>
            </w:r>
          </w:p>
        </w:tc>
      </w:tr>
      <w:tr>
        <w:trPr>
          <w:trHeight w:val="458"/>
        </w:trPr>
        <w:tc>
          <w:tcPr>
            <w:tcW w:w="2086" w:type="dxa"/>
            <w:vMerge/>
            <w:vAlign w:val="center"/>
          </w:tcPr>
          <w:p>
            <w:pPr>
              <w:pStyle w:val="BodyText"/>
              <w:spacing w:beforeLines="20" w:before="48" w:afterLines="20" w:after="48"/>
              <w:rPr>
                <w:rFonts w:asciiTheme="minorHAnsi" w:hAnsiTheme="minorHAnsi" w:cs="Arial"/>
                <w:b/>
                <w:bCs/>
                <w:sz w:val="22"/>
                <w:szCs w:val="22"/>
              </w:rPr>
            </w:pPr>
          </w:p>
        </w:tc>
        <w:tc>
          <w:tcPr>
            <w:tcW w:w="6520" w:type="dxa"/>
          </w:tcPr>
          <w:p>
            <w:pPr>
              <w:pStyle w:val="ListParagraph"/>
              <w:numPr>
                <w:ilvl w:val="0"/>
                <w:numId w:val="48"/>
              </w:numPr>
              <w:rPr>
                <w:rFonts w:asciiTheme="minorHAnsi" w:eastAsiaTheme="minorEastAsia" w:hAnsiTheme="minorHAnsi" w:cstheme="minorBidi"/>
                <w:color w:val="404040" w:themeColor="text1" w:themeTint="BF"/>
                <w:lang w:eastAsia="ja-JP"/>
              </w:rPr>
            </w:pPr>
            <w:r>
              <w:rPr>
                <w:rFonts w:asciiTheme="minorHAnsi" w:eastAsiaTheme="minorEastAsia" w:hAnsiTheme="minorHAnsi" w:cstheme="minorBidi"/>
                <w:color w:val="404040" w:themeColor="text1" w:themeTint="BF"/>
                <w:lang w:eastAsia="ja-JP"/>
              </w:rPr>
              <w:t>work effectively and collaboratively with a team of colleagues</w:t>
            </w:r>
          </w:p>
        </w:tc>
        <w:tc>
          <w:tcPr>
            <w:tcW w:w="709" w:type="dxa"/>
          </w:tcPr>
          <w:p>
            <w:pPr>
              <w:jc w:val="center"/>
              <w:rPr>
                <w:szCs w:val="24"/>
              </w:rPr>
            </w:pPr>
            <w:r>
              <w:rPr>
                <w:szCs w:val="24"/>
              </w:rPr>
              <w:t>E</w:t>
            </w:r>
          </w:p>
        </w:tc>
        <w:tc>
          <w:tcPr>
            <w:tcW w:w="709" w:type="dxa"/>
          </w:tcPr>
          <w:p>
            <w:pPr>
              <w:jc w:val="center"/>
              <w:rPr>
                <w:szCs w:val="24"/>
              </w:rPr>
            </w:pPr>
            <w:r>
              <w:rPr>
                <w:szCs w:val="24"/>
              </w:rPr>
              <w:t>L, R, I</w:t>
            </w:r>
          </w:p>
        </w:tc>
      </w:tr>
      <w:tr>
        <w:trPr>
          <w:trHeight w:val="457"/>
        </w:trPr>
        <w:tc>
          <w:tcPr>
            <w:tcW w:w="2086" w:type="dxa"/>
            <w:vMerge/>
            <w:vAlign w:val="center"/>
          </w:tcPr>
          <w:p>
            <w:pPr>
              <w:pStyle w:val="BodyText"/>
              <w:spacing w:beforeLines="20" w:before="48" w:afterLines="20" w:after="48"/>
              <w:rPr>
                <w:rFonts w:asciiTheme="minorHAnsi" w:hAnsiTheme="minorHAnsi" w:cs="Arial"/>
                <w:b/>
                <w:bCs/>
                <w:sz w:val="22"/>
                <w:szCs w:val="22"/>
              </w:rPr>
            </w:pPr>
          </w:p>
        </w:tc>
        <w:tc>
          <w:tcPr>
            <w:tcW w:w="6520" w:type="dxa"/>
          </w:tcPr>
          <w:p>
            <w:pPr>
              <w:pStyle w:val="ListParagraph"/>
              <w:numPr>
                <w:ilvl w:val="0"/>
                <w:numId w:val="48"/>
              </w:numPr>
              <w:rPr>
                <w:rFonts w:asciiTheme="minorHAnsi" w:eastAsiaTheme="minorEastAsia" w:hAnsiTheme="minorHAnsi" w:cstheme="minorBidi"/>
                <w:color w:val="404040" w:themeColor="text1" w:themeTint="BF"/>
                <w:lang w:eastAsia="ja-JP"/>
              </w:rPr>
            </w:pPr>
            <w:r>
              <w:rPr>
                <w:rFonts w:asciiTheme="minorHAnsi" w:eastAsiaTheme="minorEastAsia" w:hAnsiTheme="minorHAnsi" w:cstheme="minorBidi"/>
                <w:color w:val="404040" w:themeColor="text1" w:themeTint="BF"/>
                <w:lang w:eastAsia="ja-JP"/>
              </w:rPr>
              <w:t>motivate and inspire pupils</w:t>
            </w:r>
          </w:p>
        </w:tc>
        <w:tc>
          <w:tcPr>
            <w:tcW w:w="709" w:type="dxa"/>
          </w:tcPr>
          <w:p>
            <w:pPr>
              <w:jc w:val="center"/>
              <w:rPr>
                <w:szCs w:val="24"/>
              </w:rPr>
            </w:pPr>
            <w:r>
              <w:rPr>
                <w:szCs w:val="24"/>
              </w:rPr>
              <w:t>E</w:t>
            </w:r>
          </w:p>
        </w:tc>
        <w:tc>
          <w:tcPr>
            <w:tcW w:w="709" w:type="dxa"/>
          </w:tcPr>
          <w:p>
            <w:pPr>
              <w:jc w:val="center"/>
              <w:rPr>
                <w:szCs w:val="24"/>
              </w:rPr>
            </w:pPr>
            <w:r>
              <w:rPr>
                <w:szCs w:val="24"/>
              </w:rPr>
              <w:t>L, I</w:t>
            </w:r>
          </w:p>
        </w:tc>
      </w:tr>
      <w:tr>
        <w:trPr>
          <w:trHeight w:val="457"/>
        </w:trPr>
        <w:tc>
          <w:tcPr>
            <w:tcW w:w="2086" w:type="dxa"/>
            <w:vMerge/>
            <w:vAlign w:val="center"/>
          </w:tcPr>
          <w:p>
            <w:pPr>
              <w:pStyle w:val="BodyText"/>
              <w:spacing w:beforeLines="20" w:before="48" w:afterLines="20" w:after="48"/>
              <w:rPr>
                <w:rFonts w:asciiTheme="minorHAnsi" w:hAnsiTheme="minorHAnsi" w:cs="Arial"/>
                <w:b/>
                <w:bCs/>
                <w:sz w:val="22"/>
                <w:szCs w:val="22"/>
              </w:rPr>
            </w:pPr>
          </w:p>
        </w:tc>
        <w:tc>
          <w:tcPr>
            <w:tcW w:w="6520" w:type="dxa"/>
          </w:tcPr>
          <w:p>
            <w:pPr>
              <w:pStyle w:val="ListParagraph"/>
              <w:numPr>
                <w:ilvl w:val="0"/>
                <w:numId w:val="48"/>
              </w:numPr>
              <w:rPr>
                <w:rFonts w:asciiTheme="minorHAnsi" w:eastAsiaTheme="minorEastAsia" w:hAnsiTheme="minorHAnsi" w:cstheme="minorBidi"/>
                <w:color w:val="404040" w:themeColor="text1" w:themeTint="BF"/>
                <w:lang w:eastAsia="ja-JP"/>
              </w:rPr>
            </w:pPr>
            <w:r>
              <w:rPr>
                <w:rFonts w:asciiTheme="minorHAnsi" w:eastAsiaTheme="minorEastAsia" w:hAnsiTheme="minorHAnsi" w:cstheme="minorBidi"/>
                <w:color w:val="404040" w:themeColor="text1" w:themeTint="BF"/>
                <w:lang w:eastAsia="ja-JP"/>
              </w:rPr>
              <w:t>plan effectively for a variety of learning styles and abilities</w:t>
            </w:r>
          </w:p>
        </w:tc>
        <w:tc>
          <w:tcPr>
            <w:tcW w:w="709" w:type="dxa"/>
          </w:tcPr>
          <w:p>
            <w:pPr>
              <w:jc w:val="center"/>
              <w:rPr>
                <w:szCs w:val="24"/>
              </w:rPr>
            </w:pPr>
            <w:r>
              <w:rPr>
                <w:szCs w:val="24"/>
              </w:rPr>
              <w:t>E</w:t>
            </w:r>
          </w:p>
        </w:tc>
        <w:tc>
          <w:tcPr>
            <w:tcW w:w="709" w:type="dxa"/>
          </w:tcPr>
          <w:p>
            <w:pPr>
              <w:jc w:val="center"/>
              <w:rPr>
                <w:szCs w:val="24"/>
              </w:rPr>
            </w:pPr>
            <w:proofErr w:type="gramStart"/>
            <w:r>
              <w:rPr>
                <w:szCs w:val="24"/>
              </w:rPr>
              <w:t>L,R</w:t>
            </w:r>
            <w:proofErr w:type="gramEnd"/>
            <w:r>
              <w:rPr>
                <w:szCs w:val="24"/>
              </w:rPr>
              <w:t>, I</w:t>
            </w:r>
          </w:p>
        </w:tc>
      </w:tr>
      <w:tr>
        <w:trPr>
          <w:trHeight w:val="41"/>
        </w:trPr>
        <w:tc>
          <w:tcPr>
            <w:tcW w:w="2086" w:type="dxa"/>
            <w:vMerge/>
            <w:vAlign w:val="center"/>
          </w:tcPr>
          <w:p>
            <w:pPr>
              <w:pStyle w:val="BodyText"/>
              <w:spacing w:beforeLines="20" w:before="48" w:afterLines="20" w:after="48"/>
              <w:rPr>
                <w:rFonts w:asciiTheme="minorHAnsi" w:hAnsiTheme="minorHAnsi" w:cs="Arial"/>
                <w:b/>
                <w:bCs/>
                <w:sz w:val="22"/>
                <w:szCs w:val="22"/>
              </w:rPr>
            </w:pPr>
          </w:p>
        </w:tc>
        <w:tc>
          <w:tcPr>
            <w:tcW w:w="6520" w:type="dxa"/>
          </w:tcPr>
          <w:p>
            <w:pPr>
              <w:pStyle w:val="ListParagraph"/>
              <w:numPr>
                <w:ilvl w:val="0"/>
                <w:numId w:val="48"/>
              </w:numPr>
              <w:rPr>
                <w:rFonts w:asciiTheme="minorHAnsi" w:eastAsiaTheme="minorEastAsia" w:hAnsiTheme="minorHAnsi" w:cstheme="minorBidi"/>
                <w:color w:val="404040" w:themeColor="text1" w:themeTint="BF"/>
                <w:lang w:eastAsia="ja-JP"/>
              </w:rPr>
            </w:pPr>
            <w:r>
              <w:rPr>
                <w:rFonts w:asciiTheme="minorHAnsi" w:eastAsiaTheme="minorEastAsia" w:hAnsiTheme="minorHAnsi" w:cstheme="minorBidi"/>
                <w:color w:val="404040" w:themeColor="text1" w:themeTint="BF"/>
                <w:lang w:eastAsia="ja-JP"/>
              </w:rPr>
              <w:t>Identify and use assessment information effectively to plan next steps in pupils’ learning.</w:t>
            </w:r>
          </w:p>
        </w:tc>
        <w:tc>
          <w:tcPr>
            <w:tcW w:w="709" w:type="dxa"/>
          </w:tcPr>
          <w:p>
            <w:pPr>
              <w:jc w:val="center"/>
              <w:rPr>
                <w:szCs w:val="24"/>
              </w:rPr>
            </w:pPr>
            <w:r>
              <w:rPr>
                <w:szCs w:val="24"/>
              </w:rPr>
              <w:t>E</w:t>
            </w:r>
          </w:p>
        </w:tc>
        <w:tc>
          <w:tcPr>
            <w:tcW w:w="709" w:type="dxa"/>
          </w:tcPr>
          <w:p>
            <w:pPr>
              <w:jc w:val="center"/>
              <w:rPr>
                <w:szCs w:val="24"/>
              </w:rPr>
            </w:pPr>
            <w:r>
              <w:rPr>
                <w:szCs w:val="24"/>
              </w:rPr>
              <w:t>L, R, I</w:t>
            </w:r>
          </w:p>
        </w:tc>
      </w:tr>
      <w:tr>
        <w:trPr>
          <w:trHeight w:val="41"/>
        </w:trPr>
        <w:tc>
          <w:tcPr>
            <w:tcW w:w="2086" w:type="dxa"/>
            <w:vMerge/>
            <w:vAlign w:val="center"/>
          </w:tcPr>
          <w:p>
            <w:pPr>
              <w:pStyle w:val="BodyText"/>
              <w:spacing w:beforeLines="20" w:before="48" w:afterLines="20" w:after="48"/>
              <w:rPr>
                <w:rFonts w:asciiTheme="minorHAnsi" w:hAnsiTheme="minorHAnsi" w:cs="Arial"/>
                <w:b/>
                <w:bCs/>
                <w:sz w:val="22"/>
                <w:szCs w:val="22"/>
              </w:rPr>
            </w:pPr>
          </w:p>
        </w:tc>
        <w:tc>
          <w:tcPr>
            <w:tcW w:w="6520" w:type="dxa"/>
          </w:tcPr>
          <w:p>
            <w:pPr>
              <w:rPr>
                <w:szCs w:val="24"/>
              </w:rPr>
            </w:pPr>
            <w:r>
              <w:rPr>
                <w:szCs w:val="24"/>
              </w:rPr>
              <w:t>At ease with Christian ethos of the school</w:t>
            </w:r>
          </w:p>
        </w:tc>
        <w:tc>
          <w:tcPr>
            <w:tcW w:w="709" w:type="dxa"/>
          </w:tcPr>
          <w:p>
            <w:pPr>
              <w:jc w:val="center"/>
              <w:rPr>
                <w:szCs w:val="24"/>
              </w:rPr>
            </w:pPr>
            <w:r>
              <w:rPr>
                <w:szCs w:val="24"/>
              </w:rPr>
              <w:t>E</w:t>
            </w:r>
          </w:p>
        </w:tc>
        <w:tc>
          <w:tcPr>
            <w:tcW w:w="709" w:type="dxa"/>
          </w:tcPr>
          <w:p>
            <w:pPr>
              <w:jc w:val="center"/>
              <w:rPr>
                <w:szCs w:val="24"/>
              </w:rPr>
            </w:pPr>
            <w:r>
              <w:rPr>
                <w:szCs w:val="24"/>
              </w:rPr>
              <w:t>I</w:t>
            </w:r>
          </w:p>
        </w:tc>
      </w:tr>
      <w:tr>
        <w:trPr>
          <w:trHeight w:val="41"/>
        </w:trPr>
        <w:tc>
          <w:tcPr>
            <w:tcW w:w="2086" w:type="dxa"/>
            <w:vMerge/>
            <w:vAlign w:val="center"/>
          </w:tcPr>
          <w:p>
            <w:pPr>
              <w:pStyle w:val="BodyText"/>
              <w:spacing w:beforeLines="20" w:before="48" w:afterLines="20" w:after="48"/>
              <w:rPr>
                <w:rFonts w:asciiTheme="minorHAnsi" w:hAnsiTheme="minorHAnsi" w:cs="Arial"/>
                <w:b/>
                <w:bCs/>
                <w:sz w:val="22"/>
                <w:szCs w:val="22"/>
              </w:rPr>
            </w:pPr>
          </w:p>
        </w:tc>
        <w:tc>
          <w:tcPr>
            <w:tcW w:w="6520" w:type="dxa"/>
          </w:tcPr>
          <w:p>
            <w:pPr>
              <w:rPr>
                <w:szCs w:val="24"/>
              </w:rPr>
            </w:pPr>
            <w:r>
              <w:rPr>
                <w:szCs w:val="24"/>
              </w:rPr>
              <w:t>Effective interpersonal and communication skills</w:t>
            </w:r>
          </w:p>
        </w:tc>
        <w:tc>
          <w:tcPr>
            <w:tcW w:w="709" w:type="dxa"/>
          </w:tcPr>
          <w:p>
            <w:pPr>
              <w:jc w:val="center"/>
              <w:rPr>
                <w:szCs w:val="24"/>
              </w:rPr>
            </w:pPr>
            <w:r>
              <w:rPr>
                <w:szCs w:val="24"/>
              </w:rPr>
              <w:t>E</w:t>
            </w:r>
          </w:p>
        </w:tc>
        <w:tc>
          <w:tcPr>
            <w:tcW w:w="709" w:type="dxa"/>
          </w:tcPr>
          <w:p>
            <w:pPr>
              <w:jc w:val="center"/>
              <w:rPr>
                <w:szCs w:val="24"/>
              </w:rPr>
            </w:pPr>
            <w:r>
              <w:rPr>
                <w:szCs w:val="24"/>
              </w:rPr>
              <w:t>I</w:t>
            </w:r>
          </w:p>
        </w:tc>
      </w:tr>
      <w:tr>
        <w:tc>
          <w:tcPr>
            <w:tcW w:w="2086" w:type="dxa"/>
            <w:vAlign w:val="center"/>
          </w:tcPr>
          <w:p>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Application Form and Supporting Statement</w:t>
            </w:r>
          </w:p>
        </w:tc>
        <w:tc>
          <w:tcPr>
            <w:tcW w:w="7938" w:type="dxa"/>
            <w:gridSpan w:val="3"/>
            <w:vAlign w:val="center"/>
          </w:tcPr>
          <w:p>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 xml:space="preserve">The application form must be fully completed and legible. The supporting statement should be clear, concise and related to the specific post (maximum 2 sides A4, font size 12). </w:t>
            </w:r>
          </w:p>
        </w:tc>
      </w:tr>
    </w:tbl>
    <w:p>
      <w:pPr>
        <w:rPr>
          <w:rFonts w:ascii="Arial" w:hAnsi="Arial" w:cs="Arial"/>
          <w:color w:val="auto"/>
        </w:rPr>
      </w:pPr>
    </w:p>
    <w:p>
      <w:pPr>
        <w:jc w:val="center"/>
        <w:rPr>
          <w:rFonts w:cstheme="minorHAnsi"/>
          <w:sz w:val="28"/>
          <w:szCs w:val="28"/>
        </w:rPr>
      </w:pPr>
      <w:r>
        <w:rPr>
          <w:rFonts w:cstheme="minorHAnsi"/>
          <w:sz w:val="28"/>
          <w:szCs w:val="28"/>
        </w:rPr>
        <w:t xml:space="preserve">Our recent visit from </w:t>
      </w:r>
      <w:proofErr w:type="spellStart"/>
      <w:r>
        <w:rPr>
          <w:rFonts w:cstheme="minorHAnsi"/>
          <w:sz w:val="28"/>
          <w:szCs w:val="28"/>
        </w:rPr>
        <w:t>Ofsted</w:t>
      </w:r>
      <w:proofErr w:type="spellEnd"/>
      <w:r>
        <w:rPr>
          <w:rFonts w:cstheme="minorHAnsi"/>
          <w:sz w:val="28"/>
          <w:szCs w:val="28"/>
        </w:rPr>
        <w:t xml:space="preserve"> confirmed our school continues to be a GOOD school. (January 2020). </w:t>
      </w:r>
    </w:p>
    <w:p>
      <w:pPr>
        <w:jc w:val="center"/>
        <w:rPr>
          <w:rFonts w:cstheme="minorHAnsi"/>
          <w:sz w:val="28"/>
          <w:szCs w:val="28"/>
        </w:rPr>
      </w:pPr>
      <w:r>
        <w:rPr>
          <w:rFonts w:cstheme="minorHAnsi"/>
          <w:sz w:val="28"/>
          <w:szCs w:val="28"/>
        </w:rPr>
        <w:t>Extracts from the report include:</w:t>
      </w:r>
    </w:p>
    <w:p>
      <w:pPr>
        <w:autoSpaceDE w:val="0"/>
        <w:autoSpaceDN w:val="0"/>
        <w:adjustRightInd w:val="0"/>
        <w:spacing w:before="480" w:after="480" w:line="240" w:lineRule="auto"/>
        <w:jc w:val="center"/>
        <w:rPr>
          <w:rFonts w:cs="TimesNewRoman"/>
          <w:color w:val="000000"/>
          <w:sz w:val="22"/>
          <w:szCs w:val="22"/>
          <w:lang w:val="en-GB" w:eastAsia="en-GB"/>
        </w:rPr>
      </w:pPr>
      <w:r>
        <w:rPr>
          <w:szCs w:val="24"/>
        </w:rPr>
        <w:t>“</w:t>
      </w:r>
      <w:r>
        <w:rPr>
          <w:rFonts w:cs="TimesNewRoman"/>
          <w:color w:val="000000"/>
          <w:sz w:val="22"/>
          <w:szCs w:val="22"/>
          <w:lang w:val="en-GB" w:eastAsia="en-GB"/>
        </w:rPr>
        <w:t>This is a school where pupils are confident, full of life, and considerate of others. Pupils are known well and cared about. Pupils behave well and work hard in class.”</w:t>
      </w:r>
    </w:p>
    <w:p>
      <w:pPr>
        <w:autoSpaceDE w:val="0"/>
        <w:autoSpaceDN w:val="0"/>
        <w:adjustRightInd w:val="0"/>
        <w:spacing w:before="480" w:after="480" w:line="240" w:lineRule="auto"/>
        <w:jc w:val="center"/>
        <w:rPr>
          <w:rFonts w:cs="TimesNewRoman"/>
          <w:color w:val="000000"/>
          <w:sz w:val="22"/>
          <w:szCs w:val="22"/>
          <w:lang w:val="en-GB" w:eastAsia="en-GB"/>
        </w:rPr>
      </w:pPr>
      <w:r>
        <w:rPr>
          <w:rFonts w:cs="TimesNewRoman"/>
          <w:color w:val="000000"/>
          <w:sz w:val="22"/>
          <w:szCs w:val="22"/>
          <w:lang w:val="en-GB" w:eastAsia="en-GB"/>
        </w:rPr>
        <w:t>“Pupils said that they feel safe and can be themselves in this school community. Bullying almost never happens.”</w:t>
      </w:r>
    </w:p>
    <w:p>
      <w:pPr>
        <w:autoSpaceDE w:val="0"/>
        <w:autoSpaceDN w:val="0"/>
        <w:adjustRightInd w:val="0"/>
        <w:spacing w:before="480" w:after="480" w:line="240" w:lineRule="auto"/>
        <w:jc w:val="center"/>
        <w:rPr>
          <w:rFonts w:cs="TimesNewRoman"/>
          <w:color w:val="000000"/>
          <w:sz w:val="22"/>
          <w:szCs w:val="22"/>
          <w:lang w:val="en-GB" w:eastAsia="en-GB"/>
        </w:rPr>
      </w:pPr>
      <w:r>
        <w:rPr>
          <w:rFonts w:cs="TimesNewRoman"/>
          <w:color w:val="000000"/>
          <w:sz w:val="22"/>
          <w:szCs w:val="22"/>
          <w:lang w:val="en-GB" w:eastAsia="en-GB"/>
        </w:rPr>
        <w:t>“Pupils said the wider curriculum is a strength of the school. It provides them many new experiences. Staff go out of their way to provide pupils with extra activities and school trips. Pupils use these opportunities to find out about the wider world and what they enjoy and are good at.”</w:t>
      </w:r>
    </w:p>
    <w:p>
      <w:pPr>
        <w:autoSpaceDE w:val="0"/>
        <w:autoSpaceDN w:val="0"/>
        <w:adjustRightInd w:val="0"/>
        <w:spacing w:before="480" w:after="480" w:line="240" w:lineRule="auto"/>
        <w:jc w:val="center"/>
        <w:rPr>
          <w:rFonts w:cs="TimesNewRoman"/>
          <w:color w:val="000000"/>
          <w:sz w:val="22"/>
          <w:szCs w:val="22"/>
          <w:lang w:val="en-GB" w:eastAsia="en-GB"/>
        </w:rPr>
      </w:pPr>
      <w:r>
        <w:rPr>
          <w:rFonts w:cs="TimesNewRoman"/>
          <w:color w:val="000000"/>
          <w:sz w:val="22"/>
          <w:szCs w:val="22"/>
          <w:lang w:val="en-GB" w:eastAsia="en-GB"/>
        </w:rPr>
        <w:t>“Staff help all pupils to access the curriculum equally. Most parents and carers of pupils with special educational needs and/or disabilities (SEND) are full of praise for the school. They say their children receive excellent support from staff. They achieve well.”</w:t>
      </w:r>
    </w:p>
    <w:p>
      <w:pPr>
        <w:autoSpaceDE w:val="0"/>
        <w:autoSpaceDN w:val="0"/>
        <w:adjustRightInd w:val="0"/>
        <w:spacing w:before="480" w:after="480" w:line="240" w:lineRule="auto"/>
        <w:jc w:val="center"/>
        <w:rPr>
          <w:rFonts w:cs="TimesNewRoman"/>
          <w:color w:val="000000"/>
          <w:sz w:val="22"/>
          <w:szCs w:val="22"/>
          <w:lang w:val="en-GB" w:eastAsia="en-GB"/>
        </w:rPr>
      </w:pPr>
      <w:r>
        <w:rPr>
          <w:rFonts w:cs="TimesNewRoman"/>
          <w:color w:val="000000"/>
          <w:sz w:val="22"/>
          <w:szCs w:val="22"/>
          <w:lang w:val="en-GB" w:eastAsia="en-GB"/>
        </w:rPr>
        <w:t>“Pupils develop as good and successful citizens. They learn how to contribute and make a difference to the world in which we live.”</w:t>
      </w:r>
    </w:p>
    <w:p>
      <w:pPr>
        <w:autoSpaceDE w:val="0"/>
        <w:autoSpaceDN w:val="0"/>
        <w:adjustRightInd w:val="0"/>
        <w:spacing w:before="480" w:after="480" w:line="240" w:lineRule="auto"/>
        <w:jc w:val="center"/>
        <w:rPr>
          <w:rFonts w:cs="TimesNewRoman"/>
          <w:color w:val="000000"/>
          <w:sz w:val="22"/>
          <w:szCs w:val="22"/>
          <w:lang w:val="en-GB" w:eastAsia="en-GB"/>
        </w:rPr>
      </w:pPr>
      <w:r>
        <w:rPr>
          <w:rFonts w:cs="TimesNewRoman"/>
          <w:color w:val="000000"/>
          <w:sz w:val="22"/>
          <w:szCs w:val="22"/>
          <w:lang w:val="en-GB" w:eastAsia="en-GB"/>
        </w:rPr>
        <w:t>“Pupils pay attention, try hard and behave well in lessons. This good behaviour extends beyond lessons. Pupils are happy and orderly between lessons, and at break and lunchtime.”</w:t>
      </w:r>
    </w:p>
    <w:p>
      <w:pPr>
        <w:autoSpaceDE w:val="0"/>
        <w:autoSpaceDN w:val="0"/>
        <w:adjustRightInd w:val="0"/>
        <w:spacing w:before="480" w:after="480" w:line="240" w:lineRule="auto"/>
        <w:jc w:val="center"/>
        <w:rPr>
          <w:rFonts w:cs="TimesNewRoman"/>
          <w:color w:val="000000"/>
          <w:sz w:val="22"/>
          <w:szCs w:val="22"/>
          <w:lang w:val="en-GB" w:eastAsia="en-GB"/>
        </w:rPr>
      </w:pPr>
      <w:r>
        <w:rPr>
          <w:rFonts w:cs="TimesNewRoman"/>
          <w:color w:val="000000"/>
          <w:sz w:val="22"/>
          <w:szCs w:val="22"/>
          <w:lang w:val="en-GB" w:eastAsia="en-GB"/>
        </w:rPr>
        <w:t>“Most pupils achieve well in their examinations, across almost all subjects. This includes pupils with SEND, who move on to well-chosen courses after Year 11. Disadvantaged pupils’</w:t>
      </w:r>
      <w:r>
        <w:rPr>
          <w:szCs w:val="24"/>
        </w:rPr>
        <w:t xml:space="preserve"> examination results </w:t>
      </w:r>
      <w:r>
        <w:rPr>
          <w:rFonts w:cs="TimesNewRoman"/>
          <w:color w:val="000000"/>
          <w:sz w:val="22"/>
          <w:szCs w:val="22"/>
          <w:lang w:val="en-GB" w:eastAsia="en-GB"/>
        </w:rPr>
        <w:t>are improving year on year.”</w:t>
      </w:r>
    </w:p>
    <w:p>
      <w:pPr>
        <w:autoSpaceDE w:val="0"/>
        <w:autoSpaceDN w:val="0"/>
        <w:adjustRightInd w:val="0"/>
        <w:spacing w:after="0" w:line="240" w:lineRule="auto"/>
        <w:jc w:val="center"/>
        <w:rPr>
          <w:rFonts w:cs="TimesNewRoman"/>
          <w:color w:val="000000"/>
          <w:sz w:val="22"/>
          <w:szCs w:val="22"/>
          <w:lang w:val="en-GB" w:eastAsia="en-GB"/>
        </w:rPr>
      </w:pPr>
      <w:r>
        <w:rPr>
          <w:b/>
          <w:i/>
          <w:noProof/>
          <w:color w:val="auto"/>
          <w:sz w:val="22"/>
          <w:szCs w:val="22"/>
          <w:lang w:val="en-GB" w:eastAsia="en-GB"/>
        </w:rPr>
        <w:drawing>
          <wp:inline distT="0" distB="0" distL="0" distR="0">
            <wp:extent cx="3134360" cy="2089466"/>
            <wp:effectExtent l="76200" t="76200" r="85090" b="1016000"/>
            <wp:docPr id="11"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0936" cy="20938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sectPr>
      <w:headerReference w:type="default" r:id="rId19"/>
      <w:footerReference w:type="default" r:id="rId20"/>
      <w:headerReference w:type="first" r:id="rId21"/>
      <w:footerReference w:type="first" r:id="rId22"/>
      <w:pgSz w:w="11906" w:h="16838" w:code="9"/>
      <w:pgMar w:top="1077" w:right="1077" w:bottom="907" w:left="1077" w:header="680"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jc w:val="left"/>
      <w:rPr>
        <w:color w:val="335B74" w:themeColor="text2"/>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6242050</wp:posOffset>
              </wp:positionH>
              <wp:positionV relativeFrom="paragraph">
                <wp:posOffset>20955</wp:posOffset>
              </wp:positionV>
              <wp:extent cx="415612" cy="320428"/>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415612" cy="320428"/>
                      </a:xfrm>
                      <a:prstGeom prst="rect">
                        <a:avLst/>
                      </a:prstGeom>
                      <a:noFill/>
                      <a:ln w="6350">
                        <a:noFill/>
                      </a:ln>
                    </wps:spPr>
                    <wps:txbx>
                      <w:txbxContent>
                        <w:p>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12</w:t>
                          </w:r>
                          <w:r>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margin-left:491.5pt;margin-top:1.65pt;width:32.75pt;height:2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E5LgIAAFIEAAAOAAAAZHJzL2Uyb0RvYy54bWysVE1vGjEQvVfqf7B8L/sRIAliiWgiqkoo&#10;iQRVzsZrsyt5Pa5t2KW/vmPvQlDaU9WLGc/Mznjee8P8oWsUOQrratAFzUYpJUJzKGu9L+iP7erL&#10;HSXOM10yBVoU9CQcfVh8/jRvzUzkUIEqhSVYRLtZawpaeW9mSeJ4JRrmRmCExqAE2zCPV7tPSsta&#10;rN6oJE/TadKCLY0FLpxD71MfpItYX0rB/YuUTniiCopv8/G08dyFM1nM2WxvmalqPjyD/cMrGlZr&#10;bHop9cQ8Iwdb/1GqqbkFB9KPODQJSFlzEWfAabL0wzSbihkRZ0FwnLnA5P5fWf58fLWkLpG7W0o0&#10;a5Cjreg8+QodQRfi0xo3w7SNwUTfoR9zz36HzjB2J20TfnEggnFE+nRBN1Tj6Bxnk2mWU8IxdJOn&#10;4/wuVEnePzbW+W8CGhKMglokL2LKjmvn+9RzSuilYVUrFQlUmrQFnd5M0vjBJYLFlcYeYYT+qcHy&#10;3a4b5tpBecKxLPTCcIavamy+Zs6/MotKwElQ3f4FD6kAm8BgUVKB/fU3f8hHgjBKSYvKKqj7eWBW&#10;UKK+a6TuPhuPgxTjZTy5zfFiryO764g+NI+A4s1wjwyPZsj36mxKC80bLsEydMUQ0xx7F9SfzUff&#10;6x2XiIvlMiah+Azza70xPJQOcAZot90bs2bA3yNxz3DWIJt9oKHP7YlYHjzIOnIUAO5RHXBH4UaW&#10;hyULm3F9j1nvfwWL3wAAAP//AwBQSwMEFAAGAAgAAAAhAL+51jLgAAAACQEAAA8AAABkcnMvZG93&#10;bnJldi54bWxMj09Lw0AUxO+C32F5gje7sTGyTfNSSqAIoofWXry9ZLdJcP/E7LaNfnq3p3ocZpj5&#10;TbGajGYnNfreWYTHWQJM2cbJ3rYI+4/NgwDmA1lJ2lmF8KM8rMrbm4Jy6c52q0670LJYYn1OCF0I&#10;Q865bzplyM/coGz0Dm40FKIcWy5HOsdyo/k8SZ65od7GhY4GVXWq+dodDcJrtXmnbT034ldXL2+H&#10;9fC9/8wQ7++m9RJYUFO4huGCH9GhjEy1O1rpmUZYiDR+CQhpCuziJ08iA1YjZKkAXhb8/4PyDwAA&#10;//8DAFBLAQItABQABgAIAAAAIQC2gziS/gAAAOEBAAATAAAAAAAAAAAAAAAAAAAAAABbQ29udGVu&#10;dF9UeXBlc10ueG1sUEsBAi0AFAAGAAgAAAAhADj9If/WAAAAlAEAAAsAAAAAAAAAAAAAAAAALwEA&#10;AF9yZWxzLy5yZWxzUEsBAi0AFAAGAAgAAAAhANqcsTkuAgAAUgQAAA4AAAAAAAAAAAAAAAAALgIA&#10;AGRycy9lMm9Eb2MueG1sUEsBAi0AFAAGAAgAAAAhAL+51jLgAAAACQEAAA8AAAAAAAAAAAAAAAAA&#10;iAQAAGRycy9kb3ducmV2LnhtbFBLBQYAAAAABAAEAPMAAACVBQAAAAA=&#10;" filled="f" stroked="f" strokeweight=".5pt">
              <v:textbox>
                <w:txbxContent>
                  <w:p w:rsidR="00A871D0" w:rsidRDefault="00F83B9E">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12</w:t>
                    </w:r>
                    <w:r>
                      <w:rPr>
                        <w:noProof/>
                        <w:color w:val="FFFFFF" w:themeColor="background1"/>
                      </w:rPr>
                      <w:fldChar w:fldCharType="end"/>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-721995</wp:posOffset>
              </wp:positionH>
              <wp:positionV relativeFrom="paragraph">
                <wp:posOffset>-70484</wp:posOffset>
              </wp:positionV>
              <wp:extent cx="7832725" cy="673100"/>
              <wp:effectExtent l="0" t="0" r="0" b="0"/>
              <wp:wrapNone/>
              <wp:docPr id="5" name="Rectangle 5" descr="decorative element"/>
              <wp:cNvGraphicFramePr/>
              <a:graphic xmlns:a="http://schemas.openxmlformats.org/drawingml/2006/main">
                <a:graphicData uri="http://schemas.microsoft.com/office/word/2010/wordprocessingShape">
                  <wps:wsp>
                    <wps:cNvSpPr/>
                    <wps:spPr>
                      <a:xfrm>
                        <a:off x="0" y="0"/>
                        <a:ext cx="7832725" cy="67310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Brownedge St Mary’s Catholic High School, Station Road, Bamber Bridge, Preston PR5 6PB</w:t>
                          </w:r>
                        </w:p>
                        <w:p>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Telephone: 01772 339813</w:t>
                          </w:r>
                          <w:r>
                            <w:rPr>
                              <w:rFonts w:ascii="Cambria" w:hAnsi="Cambria" w:cs="Calibri"/>
                              <w:b/>
                              <w:bCs/>
                              <w:color w:val="FFFFFF" w:themeColor="background1"/>
                              <w:sz w:val="22"/>
                              <w:szCs w:val="22"/>
                              <w:lang w:val="en"/>
                            </w:rPr>
                            <w:tab/>
                            <w:t>Email: bursar@st-maryshigh.lancs.sch.uk</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9" alt="decorative element" style="position:absolute;margin-left:-56.85pt;margin-top:-5.55pt;width:616.75pt;height:53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qr9wIAAIAGAAAOAAAAZHJzL2Uyb0RvYy54bWysVVtP2zAUfp+0/2D5fSQtl0JFiioQ0yQ2&#10;EDDx7DpOY8mxPdu9sF+/z3YaOsY2adqLY5/7+c4l5xfbTpG1cF4aXdHRQUmJ0NzUUi8r+vXx+sMp&#10;JT4wXTNltKjos/D0Yvb+3fnGTsXYtEbVwhEY0X66sRVtQ7DTovC8FR3zB8YKDWZjXMcCnm5Z1I5t&#10;YL1TxbgsT4qNcbV1hgvvQb3KTDpL9ptG8HDbNF4EoiqK2EI6XToX8Sxm52y6dMy2kvdhsH+IomNS&#10;w+lg6ooFRlZO/mKqk9wZb5pwwE1XmKaRXKQckM2ofJXNQ8usSLkAHG8HmPz/M8u/rO8ckXVFjynR&#10;rEOJ7gEa00slCEi18Bxw1YIbx4JcCyKU6IQOEbmN9VMYeLB3rn95XCMM28Z18YsEyTah/TygLbaB&#10;cBAnp4fjyRg+OHgnk8NRmcpRvGhb58NHYToSLxV1CCyBzNY3PsAjRHciPfb1tVSKNEqilTQajhJn&#10;wpMMbYISDZqL5KGfNDyxBmiWiZyaTlwqR9YM7cI4R56jmCgcLf2+wtlxiWgj5TdKkaVW3WdTZ2OT&#10;pJBNDSqD4WS/j0lJTQA/Yi1P4QRuiOdMCZQoxcKmQSoRi9QH5ljKOnnU8dQmopC5CpQi1ilXJt3C&#10;sxJZ+l40qD1qMf5bLr5ltcipxEx2lfo5FaVhMFpu4H+wnTEfJN8Ct5ePqiIN7aD8R5BzioNG8mx0&#10;GJQ7qY17KzM1lLXJ8juQMjQRpbBdbNNcJNAjZWHqZ8wKGio1tLf8WqIvb5gPd8xha6BS2IThFkej&#10;zKaipr9R0hr3/S16lMcwg0vJBluoov7bijn0rfqk0Zhno6OjuLbS4+h4MsbD7XMW+xy96i4NOneE&#10;lrE8XaN8ULtr40z3hIU5j17BYprDd0V5cLvHZcjbESuXi/k8iWFVWRZu9IPluxGKc/e4fWLO9sMZ&#10;MNZfzG5jsemrGc2ysULazFfBNDK17wuufQWw5vJU5JUc9+j+O0m9/DhmPwAAAP//AwBQSwMEFAAG&#10;AAgAAAAhALShDYLiAAAADAEAAA8AAABkcnMvZG93bnJldi54bWxMj8tOwzAQRfdI/IM1SOxaxzxK&#10;E+JUgAgSUoXUgFi78TRJG4+j2EnD3+OyobsZzdGdc9PVZFo2Yu8aSxLEPAKGVFrdUCXh6zOfLYE5&#10;r0ir1hJK+EEHq+zyIlWJtkfa4Fj4ioUQcomSUHvfJZy7skaj3Nx2SOG2s71RPqx9xXWvjiHctPwm&#10;ihbcqIbCh1p1+FJjeSgGI+Hd7r/5+q0Yy8Xz7n4zLPOP11xIeX01PT0C8zj5fxhO+kEdsuC0tQNp&#10;x1oJMyFuHwL7NwlgJ0SIONTZSojvYuBZys9LZL8AAAD//wMAUEsBAi0AFAAGAAgAAAAhALaDOJL+&#10;AAAA4QEAABMAAAAAAAAAAAAAAAAAAAAAAFtDb250ZW50X1R5cGVzXS54bWxQSwECLQAUAAYACAAA&#10;ACEAOP0h/9YAAACUAQAACwAAAAAAAAAAAAAAAAAvAQAAX3JlbHMvLnJlbHNQSwECLQAUAAYACAAA&#10;ACEAQL7Kq/cCAACABgAADgAAAAAAAAAAAAAAAAAuAgAAZHJzL2Uyb0RvYy54bWxQSwECLQAUAAYA&#10;CAAAACEAtKENguIAAAAMAQAADwAAAAAAAAAAAAAAAABRBQAAZHJzL2Rvd25yZXYueG1sUEsFBgAA&#10;AAAEAAQA8wAAAGAGAAAAAA==&#10;" fillcolor="#1cade4 [3204]" stroked="f" strokeweight="1pt">
              <v:fill color2="#1481ab [2404]" rotate="t" angle="270" colors="0 #1cade4;62259f #1482ac" focus="100%" type="gradient"/>
              <v:textbox>
                <w:txbxContent>
                  <w:p w:rsidR="00A871D0" w:rsidRDefault="00F83B9E">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Brownedge St Mary’s Catholic High School, Station Road, Bamber Bridge, Preston PR5 6PB</w:t>
                    </w:r>
                  </w:p>
                  <w:p w:rsidR="00A871D0" w:rsidRDefault="00F83B9E">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Telephone: 01772 339813</w:t>
                    </w:r>
                    <w:r>
                      <w:rPr>
                        <w:rFonts w:ascii="Cambria" w:hAnsi="Cambria" w:cs="Calibri"/>
                        <w:b/>
                        <w:bCs/>
                        <w:color w:val="FFFFFF" w:themeColor="background1"/>
                        <w:sz w:val="22"/>
                        <w:szCs w:val="22"/>
                        <w:lang w:val="en"/>
                      </w:rPr>
                      <w:tab/>
                      <w:t>Email: bursar@st-maryshigh.lancs.sch.uk</w:t>
                    </w:r>
                  </w:p>
                  <w:p w:rsidR="00A871D0" w:rsidRDefault="00A871D0">
                    <w:pPr>
                      <w:jc w:val="cente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-683895</wp:posOffset>
              </wp:positionH>
              <wp:positionV relativeFrom="paragraph">
                <wp:posOffset>-70485</wp:posOffset>
              </wp:positionV>
              <wp:extent cx="8305165" cy="558800"/>
              <wp:effectExtent l="0" t="0" r="635" b="0"/>
              <wp:wrapNone/>
              <wp:docPr id="24" name="Rectangle 24"/>
              <wp:cNvGraphicFramePr/>
              <a:graphic xmlns:a="http://schemas.openxmlformats.org/drawingml/2006/main">
                <a:graphicData uri="http://schemas.microsoft.com/office/word/2010/wordprocessingShape">
                  <wps:wsp>
                    <wps:cNvSpPr/>
                    <wps:spPr>
                      <a:xfrm>
                        <a:off x="0" y="0"/>
                        <a:ext cx="8305165" cy="55880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0" style="position:absolute;left:0;text-align:left;margin-left:-53.85pt;margin-top:-5.55pt;width:653.95pt;height: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T36gIAAGcGAAAOAAAAZHJzL2Uyb0RvYy54bWysVdtOGzEQfa/Uf7D8XnYTEggRGxSBqCrR&#10;goCKZ8drZy15Pa7tXOjXd2zvLimlrVT1ZWN77mfOTM4v9q0mW+G8AlPR0VFJiTAcamXWFf36eP1h&#10;RokPzNRMgxEVfRaeXizevzvf2bkYQwO6Fo6gE+PnO1vRJgQ7LwrPG9EyfwRWGBRKcC0LeHXronZs&#10;h95bXYzL8qTYgautAy68x9erLKSL5F9KwcOtlF4EoiuKuYX0dem7it9icc7ma8dso3iXBvuHLFqm&#10;DAYdXF2xwMjGqV9ctYo78CDDEYe2ACkVF6kGrGZUvqrmoWFWpFoQHG8HmPz/c8u/bO8cUXVFxxNK&#10;DGuxR/eIGjNrLQi+IUA76+eo92DvXHfzeIzV7qVr4y/WQfYJ1OcBVLEPhOPj7Licjk6mlHCUTaez&#10;WZlQL16srfPho4CWxENFHYZPWLLtjQ8YEVV7lQ7i+lppTaRWyBiDvKLEQXhSoUmIIQ9zLzzaJwtP&#10;LCBoZXpO3BKX2pEtQ1YwzoUJo1goBlr7Q4OzaYnZxpffGEWR3rSfoc7OTpNBdjWYDI6T/y4nrQxB&#10;kDHXEhGJYYjnTAvsRMqFzYPSIraiS8yxVHWKaOLXQEQhSzW+FLFPuTPpFJ61yNr3QmKLsRfjv9Xi&#10;G1aLXEqspO/Uz6Vogw6jZ4nxB98Z80HzLXA7/Wgq0mwOxn8EOZc4WKTIYMJg3CoD7q3K9NBWmfV7&#10;kDI0EaWwX+0T/Y97pq+gfsaRQEIlQnvLrxXy8ob5cMccLgfsFC68cIsfqWFXUehOlDTgvr/1HvVx&#10;ZlFKyQ6XTUX9tw1zyFv9ySAxz0aTSdxO6TKZno7x4g4lq0OJ2bSXgMwdIWUsT8eoH3R/lA7aJ9yL&#10;yxgVRcxwjF1RHlx/uQx5CeJm5WK5TGq4kSwLN+bB8n6E4tw97p+Ys91wBhzrL9AvJjZ/NaNZN3bI&#10;wHITQKpE34h0xrXrAG6zPBV588Z1eXhPWi//D4sfAAAA//8DAFBLAwQUAAYACAAAACEAQBUO7OAA&#10;AAAMAQAADwAAAGRycy9kb3ducmV2LnhtbEyPwUrEMBCG74LvEEbwtptmwXatTRcVKwgibF32nG1m&#10;22ozKU3arW9vetLbDPPx/99ku9l0bMLBtZYkiHUEDKmyuqVawuGzWG2BOa9Iq84SSvhBB7v8+ipT&#10;qbYX2uNU+pqFEHKpktB436ecu6pBo9za9kjhdraDUT6sQ831oC4h3HR8E0UxN6ql0NCoHp8brL7L&#10;0Uh4s19H/v5aTlX8dL7bj9vi46UQUt7ezI8PwDzO/g+GRT+oQx6cTnYk7VgnYSWiJAnsMgkBbEFC&#10;4wbYSUIS3wPPM/7/ifwXAAD//wMAUEsBAi0AFAAGAAgAAAAhALaDOJL+AAAA4QEAABMAAAAAAAAA&#10;AAAAAAAAAAAAAFtDb250ZW50X1R5cGVzXS54bWxQSwECLQAUAAYACAAAACEAOP0h/9YAAACUAQAA&#10;CwAAAAAAAAAAAAAAAAAvAQAAX3JlbHMvLnJlbHNQSwECLQAUAAYACAAAACEAWjy09+oCAABnBgAA&#10;DgAAAAAAAAAAAAAAAAAuAgAAZHJzL2Uyb0RvYy54bWxQSwECLQAUAAYACAAAACEAQBUO7OAAAAAM&#10;AQAADwAAAAAAAAAAAAAAAABEBQAAZHJzL2Rvd25yZXYueG1sUEsFBgAAAAAEAAQA8wAAAFEGAAAA&#10;AA==&#10;" fillcolor="#1cade4 [3204]" stroked="f" strokeweight="1pt">
              <v:fill color2="#1481ab [2404]" rotate="t" angle="270" colors="0 #1cade4;62259f #1482ac" focus="100%" type="gradient"/>
              <v:textbox>
                <w:txbxContent>
                  <w:p w:rsidR="00A871D0" w:rsidRDefault="00A871D0">
                    <w:pPr>
                      <w:jc w:val="center"/>
                      <w:rPr>
                        <w:b/>
                        <w:sz w:val="20"/>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-715645</wp:posOffset>
              </wp:positionH>
              <wp:positionV relativeFrom="paragraph">
                <wp:posOffset>-457200</wp:posOffset>
              </wp:positionV>
              <wp:extent cx="7833207" cy="447841"/>
              <wp:effectExtent l="0" t="0" r="0" b="9525"/>
              <wp:wrapNone/>
              <wp:docPr id="6" name="Rectangle 6" descr="decorative element"/>
              <wp:cNvGraphicFramePr/>
              <a:graphic xmlns:a="http://schemas.openxmlformats.org/drawingml/2006/main">
                <a:graphicData uri="http://schemas.microsoft.com/office/word/2010/wordprocessingShape">
                  <wps:wsp>
                    <wps:cNvSpPr/>
                    <wps:spPr>
                      <a:xfrm>
                        <a:off x="0" y="0"/>
                        <a:ext cx="7833207" cy="447841"/>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alt="decorative element" style="position:absolute;margin-left:-56.35pt;margin-top:-36pt;width:616.8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et8AIAAG4GAAAOAAAAZHJzL2Uyb0RvYy54bWysVU1PGzEQvVfqf7B8L7sJgYSIDYpAVJUo&#10;IKDibLx21pLX49pONumv79jOLilFHKpeNrbn+82byfnFttVkI5xXYCo6OiopEYZDrcyqoj+err/M&#10;KPGBmZppMKKiO+HpxeLzp/POzsUYGtC1cASdGD/vbEWbEOy8KDxvRMv8EVhhUCjBtSzg1a2K2rEO&#10;vbe6GJfladGBq60DLrzH16sspIvkX0rBw52UXgSiK4q5hfR16fsSv8XinM1XjtlG8X0a7B+yaJky&#10;GHRwdcUCI2un/nLVKu7AgwxHHNoCpFRcpBqwmlH5pprHhlmRakFwvB1g8v/PLb/d3Dui6oqeUmJY&#10;iy16QNCYWWlB8KkWniNcteDgWFAbQYQWrTAhItdZP0cHj/be7W8ejxGGrXRt/MUCyTahvRvQFttA&#10;OD5OZ8fH43JKCUfZZDKdTUbRafFqbZ0PXwW0JB4q6jCxBDLb3PiQVXuVPfb1tdKaSK2QSgYJR4mD&#10;8KxCk6BEguYmebRPFp5YQDTL9JxIJy61IxuGdGGcY519Tit/aHB2UpYfGkVlvW6/Q52dTZNBznmI&#10;k4qNjrHmVZ+TVoYg/JhrOcMgGIZ4zrTAFqVc2DwoLWKTsjckb6o6RTTxayCikKUaX4rYp9yZdAo7&#10;LbL2g5DYe+zF+CMAoq5vWC1yKbGSNDiY9Z+laIMOo7bE+IPvjPmg+R64e/1oKtLQDsYfgpxLHCxS&#10;ZDBhMG6VAfdeZXpoq8z6PUgZmojSC9Q7nAykT6Kvt/xaIQtvmA/3zOGOwL7g3gt3+JEauorC/kRJ&#10;A+7Xe+9RH0cXpZR0uHMq6n+umUOW6m8GaXg2mkzikkqXycl0jBd3KHk5lJh1ewnI0xESxPJ0jPpB&#10;90fpoH3G9biMUVHEDMfYFeXB9ZfLkHchLlgulsukhovJsnBjHi3vByZO2dP2mTm7H8WAQ3wL/X5i&#10;8zcTmXVjPwws1wGkSmR9xXWPNy61TP68gOPWPLwnrde/icVvAAAA//8DAFBLAwQUAAYACAAAACEA&#10;6THrD+EAAAAMAQAADwAAAGRycy9kb3ducmV2LnhtbEyPX0vDMBTF3wW/Q7iCb1uawv7YNR0qVhBk&#10;sCp7zpq7ttrclCbt6rc3fdK3ezg/zj0n3U+mZSP2rrEkQSwjYEil1Q1VEj4/8sUWmPOKtGotoYQf&#10;dLDPbm9SlWh7pSOOha9YCCGXKAm1913CuStrNMotbYcUvIvtjfJB9hXXvbqGcNPyOIrW3KiGwoda&#10;dfhcY/ldDEbCm/068ffXYizXT5fVcdjmh5dcSHl/Nz3ugHmc/B8Mc/1QHbLQ6WwH0o61EhZCxJvA&#10;hmsTh1UzIuLoAdh5NlfAs5T/H5H9AgAA//8DAFBLAQItABQABgAIAAAAIQC2gziS/gAAAOEBAAAT&#10;AAAAAAAAAAAAAAAAAAAAAABbQ29udGVudF9UeXBlc10ueG1sUEsBAi0AFAAGAAgAAAAhADj9If/W&#10;AAAAlAEAAAsAAAAAAAAAAAAAAAAALwEAAF9yZWxzLy5yZWxzUEsBAi0AFAAGAAgAAAAhAMvIp63w&#10;AgAAbgYAAA4AAAAAAAAAAAAAAAAALgIAAGRycy9lMm9Eb2MueG1sUEsBAi0AFAAGAAgAAAAhAOkx&#10;6w/hAAAADAEAAA8AAAAAAAAAAAAAAAAASgUAAGRycy9kb3ducmV2LnhtbFBLBQYAAAAABAAEAPMA&#10;AABYBgAAAAA=&#10;" fillcolor="#1cade4 [3204]" stroked="f" strokeweight="1pt">
              <v:fill color2="#1481ab [2404]" rotate="t" angle="270" colors="0 #1cade4;62259f #1482ac"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0" w:line="312" w:lineRule="auto"/>
      <w:jc w:val="center"/>
      <w:rPr>
        <w:rFonts w:ascii="Cambria" w:hAnsi="Cambria" w:cs="Calibri"/>
        <w:b/>
        <w:bCs/>
        <w:color w:val="17365D"/>
        <w:sz w:val="22"/>
        <w:szCs w:val="22"/>
        <w:lang w:val="en"/>
      </w:rPr>
    </w:pPr>
    <w:r>
      <w:rPr>
        <w:noProof/>
        <w:color w:val="auto"/>
        <w:lang w:val="en-GB" w:eastAsia="en-GB"/>
      </w:rPr>
      <mc:AlternateContent>
        <mc:Choice Requires="wpg">
          <w:drawing>
            <wp:anchor distT="0" distB="0" distL="114300" distR="114300" simplePos="0" relativeHeight="251654656" behindDoc="0" locked="0" layoutInCell="1" allowOverlap="1">
              <wp:simplePos x="0" y="0"/>
              <mc:AlternateContent>
                <mc:Choice Requires="wp14">
                  <wp:positionH relativeFrom="page">
                    <wp14:pctPosHOffset>-22900</wp14:pctPosHOffset>
                  </wp:positionH>
                </mc:Choice>
                <mc:Fallback>
                  <wp:positionH relativeFrom="page">
                    <wp:posOffset>-1731010</wp:posOffset>
                  </wp:positionH>
                </mc:Fallback>
              </mc:AlternateContent>
              <mc:AlternateContent>
                <mc:Choice Requires="wp14">
                  <wp:positionV relativeFrom="page">
                    <wp14:pctPosVOffset>-1500</wp14:pctPosVOffset>
                  </wp:positionV>
                </mc:Choice>
                <mc:Fallback>
                  <wp:positionV relativeFrom="page">
                    <wp:posOffset>-160020</wp:posOffset>
                  </wp:positionV>
                </mc:Fallback>
              </mc:AlternateContent>
              <wp:extent cx="10236200" cy="2470150"/>
              <wp:effectExtent l="0" t="0" r="0" b="6350"/>
              <wp:wrapNone/>
              <wp:docPr id="4" name="Group 4" descr="decorative element"/>
              <wp:cNvGraphicFramePr/>
              <a:graphic xmlns:a="http://schemas.openxmlformats.org/drawingml/2006/main">
                <a:graphicData uri="http://schemas.microsoft.com/office/word/2010/wordprocessingGroup">
                  <wpg:wgp>
                    <wpg:cNvGrpSpPr/>
                    <wpg:grpSpPr>
                      <a:xfrm>
                        <a:off x="0" y="0"/>
                        <a:ext cx="10236200" cy="2470150"/>
                        <a:chOff x="0" y="0"/>
                        <a:chExt cx="10535285" cy="2691054"/>
                      </a:xfrm>
                    </wpg:grpSpPr>
                    <wps:wsp>
                      <wps:cNvPr id="20" name="Freeform 19">
                        <a:extLst>
                          <a:ext uri="{FF2B5EF4-FFF2-40B4-BE49-F238E27FC236}">
                            <a16:creationId xmlns:a16="http://schemas.microsoft.com/office/drawing/2014/main" id="{7E1B7167-0843-9649-8C5E-3D07F055F899}"/>
                          </a:ext>
                        </a:extLst>
                      </wps:cNvPr>
                      <wps:cNvSpPr/>
                      <wps:spPr>
                        <a:xfrm>
                          <a:off x="1430021" y="28563"/>
                          <a:ext cx="8301393" cy="2171322"/>
                        </a:xfrm>
                        <a:prstGeom prst="rect">
                          <a:avLst/>
                        </a:prstGeom>
                        <a:solidFill>
                          <a:schemeClr val="tx2"/>
                        </a:solidFill>
                        <a:ln w="8460" cap="flat">
                          <a:noFill/>
                          <a:prstDash val="solid"/>
                          <a:miter/>
                        </a:ln>
                      </wps:spPr>
                      <wps:txbx>
                        <w:txbxContent>
                          <w:p>
                            <w:pPr>
                              <w:pStyle w:val="Subtitle"/>
                              <w:ind w:left="1276" w:right="0"/>
                              <w:rPr>
                                <w:sz w:val="48"/>
                                <w:szCs w:val="44"/>
                              </w:rPr>
                            </w:pPr>
                            <w:r>
                              <w:rPr>
                                <w:sz w:val="48"/>
                                <w:szCs w:val="44"/>
                              </w:rPr>
                              <w:t xml:space="preserve">Brownedge St Mary’s </w:t>
                            </w:r>
                          </w:p>
                          <w:p>
                            <w:pPr>
                              <w:pStyle w:val="Subtitle"/>
                              <w:ind w:left="1276" w:right="0"/>
                              <w:rPr>
                                <w:sz w:val="48"/>
                                <w:szCs w:val="44"/>
                              </w:rPr>
                            </w:pPr>
                            <w:r>
                              <w:rPr>
                                <w:sz w:val="48"/>
                                <w:szCs w:val="44"/>
                              </w:rPr>
                              <w:t>Catholic High School</w:t>
                            </w:r>
                          </w:p>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6781958" y="142875"/>
                          <a:ext cx="1757315" cy="1984375"/>
                          <a:chOff x="1225440" y="0"/>
                          <a:chExt cx="1757496" cy="1985392"/>
                        </a:xfrm>
                      </wpg:grpSpPr>
                      <wps:wsp>
                        <wps:cNvPr id="13" name="Parallelogram 12">
                          <a:extLst>
                            <a:ext uri="{FF2B5EF4-FFF2-40B4-BE49-F238E27FC236}">
                              <a16:creationId xmlns:a16="http://schemas.microsoft.com/office/drawing/2014/main" id="{0DF4DB2E-1B08-B444-B2FC-E7FB68181731}"/>
                            </a:ext>
                          </a:extLst>
                        </wps:cNvPr>
                        <wps:cNvSpPr/>
                        <wps:spPr>
                          <a:xfrm rot="17100000">
                            <a:off x="1648259" y="650715"/>
                            <a:ext cx="1095043" cy="1574311"/>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 name="connsiteX0" fmla="*/ 0 w 1095750"/>
                              <a:gd name="connsiteY0" fmla="*/ 1167498 h 1868187"/>
                              <a:gd name="connsiteX1" fmla="*/ 728456 w 1095750"/>
                              <a:gd name="connsiteY1" fmla="*/ 0 h 1868187"/>
                              <a:gd name="connsiteX2" fmla="*/ 1095750 w 1095750"/>
                              <a:gd name="connsiteY2" fmla="*/ 564579 h 1868187"/>
                              <a:gd name="connsiteX3" fmla="*/ 181009 w 1095750"/>
                              <a:gd name="connsiteY3" fmla="*/ 1868187 h 1868187"/>
                              <a:gd name="connsiteX4" fmla="*/ 0 w 1095750"/>
                              <a:gd name="connsiteY4" fmla="*/ 1167498 h 1868187"/>
                              <a:gd name="connsiteX0" fmla="*/ 0 w 1095750"/>
                              <a:gd name="connsiteY0" fmla="*/ 874172 h 1574861"/>
                              <a:gd name="connsiteX1" fmla="*/ 539848 w 1095750"/>
                              <a:gd name="connsiteY1" fmla="*/ 0 h 1574861"/>
                              <a:gd name="connsiteX2" fmla="*/ 1095750 w 1095750"/>
                              <a:gd name="connsiteY2" fmla="*/ 271253 h 1574861"/>
                              <a:gd name="connsiteX3" fmla="*/ 181009 w 1095750"/>
                              <a:gd name="connsiteY3" fmla="*/ 1574861 h 1574861"/>
                              <a:gd name="connsiteX4" fmla="*/ 0 w 1095750"/>
                              <a:gd name="connsiteY4" fmla="*/ 874172 h 15748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750" h="1574861">
                                <a:moveTo>
                                  <a:pt x="0" y="874172"/>
                                </a:moveTo>
                                <a:lnTo>
                                  <a:pt x="539848" y="0"/>
                                </a:lnTo>
                                <a:lnTo>
                                  <a:pt x="1095750" y="271253"/>
                                </a:lnTo>
                                <a:lnTo>
                                  <a:pt x="181009" y="1574861"/>
                                </a:lnTo>
                                <a:lnTo>
                                  <a:pt x="0" y="874172"/>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Parallelogram 10"/>
                        <wps:cNvSpPr/>
                        <wps:spPr>
                          <a:xfrm>
                            <a:off x="1225440" y="0"/>
                            <a:ext cx="1257935" cy="1407797"/>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lumMod val="60000"/>
                                  <a:lumOff val="40000"/>
                                </a:schemeClr>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rot="10800000">
                          <a:off x="8667750" y="190500"/>
                          <a:ext cx="1867535" cy="1966505"/>
                          <a:chOff x="-1" y="0"/>
                          <a:chExt cx="1867535" cy="1966560"/>
                        </a:xfrm>
                      </wpg:grpSpPr>
                      <wps:wsp>
                        <wps:cNvPr id="8" name="Parallelogram 12"/>
                        <wps:cNvSpPr/>
                        <wps:spPr>
                          <a:xfrm rot="17100000">
                            <a:off x="304164" y="403190"/>
                            <a:ext cx="1259205" cy="186753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0018" h="1868187">
                                <a:moveTo>
                                  <a:pt x="0" y="1167498"/>
                                </a:moveTo>
                                <a:lnTo>
                                  <a:pt x="728456" y="0"/>
                                </a:lnTo>
                                <a:lnTo>
                                  <a:pt x="1260018" y="180603"/>
                                </a:lnTo>
                                <a:lnTo>
                                  <a:pt x="181009" y="1868187"/>
                                </a:lnTo>
                                <a:lnTo>
                                  <a:pt x="0" y="1167498"/>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arallelogram 10"/>
                        <wps:cNvSpPr/>
                        <wps:spPr>
                          <a:xfrm>
                            <a:off x="34534" y="0"/>
                            <a:ext cx="1257935" cy="140779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Parallelogram 10"/>
                      <wps:cNvSpPr/>
                      <wps:spPr>
                        <a:xfrm>
                          <a:off x="0" y="0"/>
                          <a:ext cx="2404769" cy="2691054"/>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gs>
                            <a:gs pos="95000">
                              <a:schemeClr val="accent1">
                                <a:lumMod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733550" y="2085975"/>
                          <a:ext cx="8082826" cy="25781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30" alt="decorative element" style="position:absolute;left:0;text-align:left;margin-left:0;margin-top:0;width:806pt;height:194.5pt;z-index:251654656;mso-left-percent:-229;mso-top-percent:-15;mso-position-horizontal-relative:page;mso-position-vertical-relative:page;mso-left-percent:-229;mso-top-percent:-15" coordsize="105352,2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SuGxEAAIefAAAOAAAAZHJzL2Uyb0RvYy54bWzsXVuP27YSfj/A+Q+CHw+wse6XRTdFNlkX&#10;BXraoO1B2kdFltcGZMlHUrKbU/S/n+FNHvoy4truJm2Zh1heczjifJwRyY9DffX147pyPpZtt2rq&#10;m4n3wp04ZV0081V9fzP5z8+zq3TidH1ez/Oqqcubyaeym3z98p//+Ophc136zbKp5mXrQCV1d/2w&#10;uZks+35zPZ12xbJc592LZlPW8OOiadd5D1/b++m8zR+g9nU19V03nj407XzTNkXZdfDXN+LHyUte&#10;/2JRFv0Pi0VX9k51M4F76/n/Lf//Pft/+vKr/Pq+zTfLVSFvIz/hLtb5qgalQ1Vv8j53PrSrvarW&#10;q6JtumbRvyia9bRZLFZFydsArfHcndZ80zYfNrwt99cP95vBTGDaHTudXG3x/ce3rbOa30zCiVPn&#10;a4CIa3Xg67zsCjDVvCyaNu9XH0unrMp1WffMag+b+2sQ/qbd/LR528o/3ItvzBCPi3bNPqGJziO3&#10;96fB3uVj7xTwR8/1gxhQnDgF/OiHietFEpJiCbjtCRbLu0E0CiI/jaRonHluFLL7mirVU3aHww09&#10;bKB/dVsTdueZ8Kdlvik5Mh2zgjShDy0RNpy1Zck6reNlvFtAi7/remYP1nbeMX6bzfzb6G4WXs3g&#10;6ip0b8Or27swu5r5QXrnJ7PXYJzfmbQXXxdtCQg09bdz1Um92KwF0l1Y9wqnvJtytH9L7rzbxIuT&#10;KzcNg6ssBsXp6+juKnjjJjM3imZplv0uDQr3zA2rWgGmlc1m/YBfDp2gu+6gPxzoAV4YuK7vTRwG&#10;dRrFAatc2IP1hTRwvSALJJ5e4gW+r+GZX2/arv+mbNYOu7iZtODc3Lj5R7CtgF4VYTV3TbWaz1ZV&#10;xb+wgFK+rlrnYw6hoH9UlWulqtp5gFsJY9YlcwhHiyoXOuqG1cTvmOl4k3dLUROXF01Zr/qyFfdR&#10;1WAwZhphDHbVP75/5Kbnmtlf3jfzT9Bz2kZEpW5TzFZQ93d517/NWwhDcBcQWuHXZdP+b+I8QJi6&#10;mXT//ZC35cSpvq2hE2deGEKxnn8Jo4R1wRb/8h7/Un9Yv26g+YACaOOXrHxfqctF26zfQUR9xbTC&#10;T3ldgO6bSdG36svrXoRP6N5F+eoVLwaxbJP339U/bQpWOTM4s9LPj+/ydiPh6qH3fN8ox8mvd1AT&#10;ZZlk3bz60DeLFYd0aydpUHBiEXy4aw9xSHqgBwEBRzH4DoA8MVbFSeplETy4oKd6oZ8mvJJtV/WS&#10;KAmYJha1vAz8R5UYopbn+xEHBkoMEe1OxS6QD7N4kI+CTPVGETU/Q+jywPOE4VjXq6qyauCpCPHL&#10;52gqz/9y4pf7Zha+ufXvrrxbN726DUOInv7s9dVdMruNUy/1AKLz45dwTohGLvvHTSEfaF4cpn6U&#10;8U4SR24iehrqJG4WuaGMZx4AHnjeTjwrPoh4xjq98gYYQczlk+J+LhEpmrruILb8Ag65WFcQGP41&#10;dVznwfG81E/DRESfveK/4uLQgCwIAmfpyKsjQr9AaBh0wEMhCMNxRVjGHVfhIxWyCeM6sJCBDjD8&#10;0IwoCCI3GFeBZYztBeOkQZEBJri4sQ4MpIEOXBzpSEIvio91lsvgTqvAEJ6OO60DYxhnceQ9EXZR&#10;O+vDtB6MowEkuLgxJBhHrgPiTRbzRwULEzvRQXd3eG5lLvcTuh3YdRM/DqOMGYxWhGUMVGiwi5rH&#10;dWAhAx0Ydi+MkzgeV6HJnIw7bSoNd1NM9nD3YLgMTx8++vxDcacVnYO7qFk4I9UYjLuXxDCKGvdF&#10;DcgBfLotmszJ4NM6Pif4fgzTqSM9Rov1W6enG7MPPqlCw/FM8ElFGpARjLO459Nt0WTAAGAq3stI&#10;RRhNGfGpjoyLe8jzSR0HPB/GnnzcaBDxIy+MxtuBgUxgmpLIxlCKsIyIxmQzdsBnNQvPp3RoQlvP&#10;JxVpQEYAejKuR5M5A3yqLTvgmwGzBz403fXSI068+7g304GB3IJPK8IyTwVf1MyfxWRjNPAjmFgZ&#10;KNKAHMCn26LJnAw+reP5wY9hOSEVz8k0iOMjPWYn7KdhJAZJJDD74IeUCg3Hk8BP3Rjmanz8TSnS&#10;gDwJfN6OcUUYTTEIJ+2Fi3uwvGoEzFmeP+iAtYA4OTY7uAz4tIoLgk8r0sBPgiA16MiajKiegU8r&#10;wmieDj6t40LgszUvo8l9AktGJ3l+Sqq4JPikIh1INpkef7zoMrx6Dj6p6ELgkzr2wIdVw0RxYGNT&#10;va3nkzpwCN+CTyvCMvxR/ATwRc0MFFoH7jERrDwk2TgmOpAKfFqPLnMq+LQO3FdQ2Ketdgb4KUxZ&#10;E5/ZC2Y8aXxshqBFfaAZ0jAdx2UPe1oFhlEiPq4DC/kJrDfxRz6tSMfxBOxF9eNGw2DyqG+O/SFc&#10;gJEe1vTzpaAq8+visZbr/HAFPBtw+oJf2DQd473xoj+QSOorDPsFwwhSjDcYEQYssbBiIMyEASQs&#10;rDgqM2FACwvztQiwhJkwIICFFbHPhUUl0naMA2ZbOyq+taMHLhN44Ynz/mbyXoyCgZZkJueMJFwy&#10;eleFJWcJ17LLsd/Xzcfy54aX7Lc7DwSi0ujbIlWNiwrX4jet8FEF1OeG1znohuaJfi9rVsXUpyye&#10;sm7O61V3KtBXxdSnKA4BBerV7lgVKKqmK4UsMwmn8wfbMJMiLgqIP86bO4tqBYRzDRt3wLBN/27V&#10;Lzl/C3bjVNh9J0173znQbaFJMDYWvZhv4Nny7XlRwL4R1f3uO2ZlJQQ82WEhRtKzgtWH9b+buaDb&#10;WVll4kEHbw2rlLmauqdqJd0KGFomBMbpirwq5wMj26+q8kfoQMIsqtVcI/etgfOHag8Q+l3/qSpF&#10;6R/LBVD74LXihocbE/esGs/Kdst8Xo41paqhQlZ6AXsOhrqFzY/ULdogyzPRkm9+GoQNUBkkuOam&#10;7gfh9apuWg7FjvZqgHQhykuSXppmS96Pb3L4AXY6LKoG/BPckF9NHLbt4dDf7aYItXlE2ltuiniG&#10;LU4Q1g9uE+A+yfCG3VAGe4H2t0fADgOxJwxWJLNAba4I3STJ+LQGfFBtKcOxyvLmI5sA8EiLj+TF&#10;RgDxdNybYfyCB1mWN+ej0iCLfN9oan3yfglaBYbwdN6c1oFxD/wgSfhEgd5fgmVg7x6zEhtc04r2&#10;Bte0DlycjYXkHhZax97Eyndhh86xpTF9Jd31fVfsk6F14FlSDLt/YrEMQSrCMtwXaRUa7qIJbGZF&#10;NwYLGejAGAaw71Hsk6FVYJnTcad16LgbYvLcuCfQUzyLOxkfMZBiCZV0EVwctoeb+eJz4x4zv+X7&#10;4uhObP0d7VWkTfUZcA9hh7t4XqXwXDk2IMIYwnYU4JjHYzCWkTGYUoFDtozu4zqwEBA/8XhLcNg+&#10;MdSzVowrwlg+3eXNYNl3+SBIzLbCZlnmZnztFBZETZGPgGQSbSH1nIU8r5kjT+o4E3nYISMGdz6p&#10;BfcWeMifijypA3cUU1T2gQ9j3z/mvtrYDnBPEjlENQY+joNA0IuknrOA5zVz4EkdZwKfwihVPLRI&#10;LRcCntShA2+GyoWAj6Lo2ERAY0vi04GnVGAMPf8s4Ck1GMQgC5NUxC4SFCzDhvVgKDmdI0yGkTTQ&#10;gYtjd6Tasg98lMI88MgDe8fjoyjgO0hDmNnASjoskx7YSHcMeFIP9vgQMnqYrWgtOva8cu70pBos&#10;xMcStA4MIgKeVIFlZBPGG4ORFMCTOnDxDPqWCSpnAA9LBUGYSuR5no4J8gns0zRoC0ZeQkKpwAgC&#10;08n67tNgT4AhEYBQajCKJyLPqh9XhKE0sBYufhAWRtqonCfLjxrRumDTP5AfFX0U6Bfg+UKX9zkW&#10;NrfkJ2YbJaQssgKQ2zKKeBRlYYUMXMuEIFXKoX2s38t6VW3qU9QqurmgR+WNittQxdTn8RtWJZ6H&#10;HyVZOGZjTHUyLpW3n/+ZpcPz1GWI/wQDakCrYjoS64N9R0TFzEv3qVV3l1qVO1EstaoR3pZa/XPn&#10;m28Tsqncc4jKWu4537Ziknsus4yVM7FAILOMYWEnYfsBWbj3Mlg5lQFhYEthyy8chKFSyWPIRJbJ&#10;6kMq+hUMV0BaCqITNPZE4dQDET4/WxY65NwfZJf5jI1ml49nagduCMna3AihC+v1uyaEQQ+sTUoT&#10;SqNgO+ibYyzhbAnnY3PPCyXom2fsnkw40yq0GYvgZ9mMhWZqsRCfrtA68HTFJmqzWRdtLzzp3OZs&#10;0tnHWMYAEoygTAEXE1Uq6xwLGejAsNtEbQODYQy3uNP5rVjGQAWGEJycZbUKd6fyWzWhbbomecbE&#10;YfDptmgywkXGnQWvORi0BRfHubpkY/ZWp+h24OJYB2yZtYnaR9Zlf9XB56bi4JNGw2ieAT6pA6Mp&#10;dVD5wLg4gH9Ori472eh4Rvi+55PN0JxY1Cw8n9KhCW09n1SkATmka9Jt0WROztWldeC+YgwMRpOD&#10;D023idrHo5gG5AA+bTRN5mTwaR3PD/6QsQdJWzZR++jRBjr4NlGbbfokQ8xe2KdTjrUILmrmA31S&#10;hyY0ZOnTinQgbaI2zPLolFAM5DZX96ngk+nAGo5ngk8q0sDniWzjnUyXOTVXl7aXHvaHkLwFxhKS&#10;fQlDb7EG+iUkbEo8OSEpYSIISXHqhrz9Y4SkcK7tyjhgrqhA9SlIQxV5+Qo8D3uyZlVMfcriKGNT&#10;61GqmPrUKEntllWJ56EkmW1JWlJ0A5uyyY6NPp59alM2WfKmTdmUZ16z8GR0jvUzpGzCEc6HWTVO&#10;hNGsGqIigxA2bW0DJjrpeD9jk3OQEFJtxub2cODTM/dsxuax9UG8EmOcHYjH2CcTaE/I3DuZQKN1&#10;4KGyzdh8aqauzdh8eqbuF5fBZZYdiP3dZmwy/oQOLHh+LJa3bcYmTIIO5Q3oayncTHyNgzQYFuLs&#10;LA2HFuf/3hnaZqmB2N9txqbN2KTzHHFvkd5I5QZi5/VEzdzjyTxHLHRCrq7N2GSPLAoVDOIZiXuU&#10;CozhmYl7lBot2tuMTT5WIdIPLwQ8lX54QeApNRrwNmNzLJfyCPBkDiKWsRmb7C0/VB4tngbYjE3+&#10;kCftheOEzdi0J9rqp/iKlfPhFN8Ln2irkiZtxqY87Re4B3xKJDu9lREy8h2unOxVR5Xyt9UyFsSe&#10;5zqx57nKN95+CS+51ZMOn4EoZC9nPph+9zSiEEiZbb6hSlT0QzdMYjjKmr/p+8DrunWHtVl2T822&#10;siShJQnp43wtSWhJQuoYXLwCISmivydZZEnCvyfu9ljXvwLuliQcp6B3Qj0jJAT0FDWBFwSfvi/A&#10;DBa8oUvoIIk1XNz0AFG8ChzbY11PQ55EBXcUU1QwkgJ48qxKXByfI0n1Xw3400/3pFTgNWBLEhod&#10;touRPAN4ilq7EPCUigsCT6nBcRud8Ui6Cpaxx7qyVEqSxsGdxZKEY9bSQ7091nXMXjhOWJLQkoSW&#10;JGwYM6dSHkVS5F/rWNcn5U9e8GzWiB8UC8Mr9dZLezSr/jpOAYw9mvXPfTQrY+7h9ZfO47qq4WoD&#10;b6Fd9v3mejrl7yrNuxfrVdE2XbPoXxTNegoHq66KcvrQtPOp73ouv9q0TVF23aq+5++3hVedyrTI&#10;ty281xVe6wqDaMGMsvfFwsuaq9IR7xyR5QxeeZkEQSRPcvXdNMoSeVCrYkhTOGk79WPJkEYJJJLL&#10;THOVRblpu/6bslk77ALecwy3wl/KqshS2NagivB0hZNf43u5fPALxjNPHY9rA9rOW3iVkW1AayBH&#10;HyZw3aZ4zS7h4df2lbpctM36Hbj9qxacB37K6wJeMAyvVu9b9eWL2fbxcL/h5+nDS6k3y1XxJu9z&#10;/J3vXbou/WbZVPOyffl/AAAA//8DAFBLAwQUAAYACAAAACEABTQhp9kAAAAGAQAADwAAAGRycy9k&#10;b3ducmV2LnhtbEyPwU7DMBBE70j8g7VIXBC120ilpHGqCsQHEHLocRMvSVR7HWK3DX+PywUuI41m&#10;NfO22M3OijNNYfCsYblQIIhbbwbuNNQfb48bECEiG7SeScM3BdiVtzcF5sZf+J3OVexEKuGQo4Y+&#10;xjGXMrQ9OQwLPxKn7NNPDmOyUyfNhJdU7qxcKbWWDgdOCz2O9NJTe6xOTsPh4ckq+7VvXus6IBmT&#10;NVWVaX1/N++3ICLN8e8YrvgJHcrE1PgTmyCshvRI/NVrtl6ukm80ZJtnBbIs5H/88gcAAP//AwBQ&#10;SwECLQAUAAYACAAAACEAtoM4kv4AAADhAQAAEwAAAAAAAAAAAAAAAAAAAAAAW0NvbnRlbnRfVHlw&#10;ZXNdLnhtbFBLAQItABQABgAIAAAAIQA4/SH/1gAAAJQBAAALAAAAAAAAAAAAAAAAAC8BAABfcmVs&#10;cy8ucmVsc1BLAQItABQABgAIAAAAIQAgzWSuGxEAAIefAAAOAAAAAAAAAAAAAAAAAC4CAABkcnMv&#10;ZTJvRG9jLnhtbFBLAQItABQABgAIAAAAIQAFNCGn2QAAAAYBAAAPAAAAAAAAAAAAAAAAAHUTAABk&#10;cnMvZG93bnJldi54bWxQSwUGAAAAAAQABADzAAAAexQAAAAA&#10;">
              <v:rect id="Freeform 19" o:spid="_x0000_s1031" style="position:absolute;left:14300;top:285;width:83014;height:2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newAAAANsAAAAPAAAAZHJzL2Rvd25yZXYueG1sRE9NS8NA&#10;EL0L/odlBG92k4IisdsgUkuhF03F85CdzQazs2l2bFN/vXsQPD7e96qew6BONKU+soFyUYAibqPt&#10;uTPwcXi9ewSVBNniEJkMXChBvb6+WmFl45nf6dRIp3IIpwoNeJGx0jq1ngKmRRyJM+fiFFAynDpt&#10;Jzzn8DDoZVE86IA95waPI714ar+a72DA/dxv964/HqXZvLlPVxbey8aY25v5+QmU0Cz/4j/3zhpY&#10;5vX5S/4Bev0LAAD//wMAUEsBAi0AFAAGAAgAAAAhANvh9svuAAAAhQEAABMAAAAAAAAAAAAAAAAA&#10;AAAAAFtDb250ZW50X1R5cGVzXS54bWxQSwECLQAUAAYACAAAACEAWvQsW78AAAAVAQAACwAAAAAA&#10;AAAAAAAAAAAfAQAAX3JlbHMvLnJlbHNQSwECLQAUAAYACAAAACEAZoJZ3sAAAADbAAAADwAAAAAA&#10;AAAAAAAAAAAHAgAAZHJzL2Rvd25yZXYueG1sUEsFBgAAAAADAAMAtwAAAPQCAAAAAA==&#10;" fillcolor="#335b74 [3215]" stroked="f" strokeweight=".235mm">
                <v:textbox>
                  <w:txbxContent>
                    <w:p w:rsidR="00A871D0" w:rsidRDefault="00F83B9E">
                      <w:pPr>
                        <w:pStyle w:val="Subtitle"/>
                        <w:ind w:left="1276" w:right="0"/>
                        <w:rPr>
                          <w:sz w:val="48"/>
                          <w:szCs w:val="44"/>
                        </w:rPr>
                      </w:pPr>
                      <w:r>
                        <w:rPr>
                          <w:sz w:val="48"/>
                          <w:szCs w:val="44"/>
                        </w:rPr>
                        <w:t xml:space="preserve">Brownedge St Mary’s </w:t>
                      </w:r>
                    </w:p>
                    <w:p w:rsidR="00A871D0" w:rsidRDefault="00F83B9E">
                      <w:pPr>
                        <w:pStyle w:val="Subtitle"/>
                        <w:ind w:left="1276" w:right="0"/>
                        <w:rPr>
                          <w:sz w:val="48"/>
                          <w:szCs w:val="44"/>
                        </w:rPr>
                      </w:pPr>
                      <w:r>
                        <w:rPr>
                          <w:sz w:val="48"/>
                          <w:szCs w:val="44"/>
                        </w:rPr>
                        <w:t>Catholic High School</w:t>
                      </w:r>
                    </w:p>
                    <w:p w:rsidR="00A871D0" w:rsidRDefault="00A871D0"/>
                  </w:txbxContent>
                </v:textbox>
              </v:rect>
              <v:group id="Group 15" o:spid="_x0000_s1032" style="position:absolute;left:67819;top:1428;width:17573;height:19844" coordorigin="12254" coordsize="17574,1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arallelogram 12" o:spid="_x0000_s1033" style="position:absolute;left:16483;top:6506;width:10950;height:15743;rotation:-75;visibility:visible;mso-wrap-style:square;v-text-anchor:middle" coordsize="1095750,157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l2vQAAANsAAAAPAAAAZHJzL2Rvd25yZXYueG1sRE9LCsIw&#10;EN0L3iGM4M6mKohUo4giuBD8VHA7NGNbbCaliVpvbwTB3Tzed+bL1lTiSY0rLSsYRjEI4szqknMF&#10;l3Q7mIJwHlljZZkUvMnBctHtzDHR9sUnep59LkIIuwQVFN7XiZQuK8igi2xNHLibbQz6AJtc6gZf&#10;IdxUchTHE2mw5NBQYE3rgrL7+WEU7LfXfCNX6f2dHSf6MC5Tb9KNUv1eu5qB8NT6v/jn3ukwfwzf&#10;X8IBcvEBAAD//wMAUEsBAi0AFAAGAAgAAAAhANvh9svuAAAAhQEAABMAAAAAAAAAAAAAAAAAAAAA&#10;AFtDb250ZW50X1R5cGVzXS54bWxQSwECLQAUAAYACAAAACEAWvQsW78AAAAVAQAACwAAAAAAAAAA&#10;AAAAAAAfAQAAX3JlbHMvLnJlbHNQSwECLQAUAAYACAAAACEAs3jZdr0AAADbAAAADwAAAAAAAAAA&#10;AAAAAAAHAgAAZHJzL2Rvd25yZXYueG1sUEsFBgAAAAADAAMAtwAAAPECAAAAAA==&#10;" path="m,874172l539848,r555902,271253l181009,1574861,,874172xe" fillcolor="#1cade4 [3204]" stroked="f" strokeweight="1pt">
                  <v:fill color2="#192d39 [1615]" rotate="t" angle="120" colors="0 #1cade4;17039f #1cade4" focus="100%" type="gradient">
                    <o:fill v:ext="view" type="gradientUnscaled"/>
                  </v:fill>
                  <v:stroke joinstyle="miter"/>
                  <v:path arrowok="t" o:connecttype="custom" o:connectlocs="0,873867;539500,0;1095043,271158;180892,1574311;0,873867" o:connectangles="0,0,0,0,0"/>
                </v:shape>
                <v:shape id="Parallelogram 10" o:spid="_x0000_s1034" style="position:absolute;left:12254;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UtwgAAANoAAAAPAAAAZHJzL2Rvd25yZXYueG1sRI/RagIx&#10;FETfhf5DuELfNGsXlrI1ihYKW4pCtR9wSa7Zxc3NNom6/ftGKPRxmJkzzHI9ul5cKcTOs4LFvABB&#10;rL3p2Cr4Or7NnkHEhGyw90wKfijCevUwWWJt/I0/6XpIVmQIxxoVtCkNtZRRt+Qwzv1AnL2TDw5T&#10;lsFKE/CW4a6XT0VRSYcd54UWB3ptSZ8PF6fgHb+Dq/S22jWlbT7sZV9q3Cv1OB03LyASjek//Ndu&#10;jIIS7lfyDZCrXwAAAP//AwBQSwECLQAUAAYACAAAACEA2+H2y+4AAACFAQAAEwAAAAAAAAAAAAAA&#10;AAAAAAAAW0NvbnRlbnRfVHlwZXNdLnhtbFBLAQItABQABgAIAAAAIQBa9CxbvwAAABUBAAALAAAA&#10;AAAAAAAAAAAAAB8BAABfcmVscy8ucmVsc1BLAQItABQABgAIAAAAIQBsS9UtwgAAANoAAAAPAAAA&#10;AAAAAAAAAAAAAAcCAABkcnMvZG93bnJldi54bWxQSwUGAAAAAAMAAwC3AAAA9gIAAAAA&#10;" path="m,1003484l671420,r587513,7950l394780,1408259,,1003484xe" fillcolor="#76cdee [1940]" stroked="f" strokeweight="1pt">
                  <v:fill color2="#1481ab [2404]" rotate="t" angle="270" colors="0 #77ceef;62259f #1482ac" focus="100%" type="gradient"/>
                  <v:stroke joinstyle="miter"/>
                  <v:path arrowok="t" o:connecttype="custom" o:connectlocs="0,1003155;670888,0;1257935,7947;394467,1407797;0,1003155" o:connectangles="0,0,0,0,0"/>
                </v:shape>
              </v:group>
              <v:group id="Group 14" o:spid="_x0000_s1035" style="position:absolute;left:86677;top:1905;width:18675;height:19665;rotation:180" coordorigin="" coordsize="18675,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7avwAAANsAAAAPAAAAZHJzL2Rvd25yZXYueG1sRE9Li8Iw&#10;EL4L/ocwgjdNfS1SjSLCYk/CqrDXoRmb7jaTkmS1/nsjCHubj+85621nG3EjH2rHCibjDARx6XTN&#10;lYLL+XO0BBEissbGMSl4UIDtpt9bY67dnb/odoqVSCEcclRgYmxzKUNpyGIYu5Y4cVfnLcYEfSW1&#10;x3sKt42cZtmHtFhzajDY0t5Q+Xv6swr0PMwuVBQ7Pz3+nBf14mCq67dSw0G3W4GI1MV/8dtd6DR/&#10;Dq9f0gFy8wQAAP//AwBQSwECLQAUAAYACAAAACEA2+H2y+4AAACFAQAAEwAAAAAAAAAAAAAAAAAA&#10;AAAAW0NvbnRlbnRfVHlwZXNdLnhtbFBLAQItABQABgAIAAAAIQBa9CxbvwAAABUBAAALAAAAAAAA&#10;AAAAAAAAAB8BAABfcmVscy8ucmVsc1BLAQItABQABgAIAAAAIQCJNQ7avwAAANsAAAAPAAAAAAAA&#10;AAAAAAAAAAcCAABkcnMvZG93bnJldi54bWxQSwUGAAAAAAMAAwC3AAAA8wIAAAAA&#10;">
                <v:shape id="Parallelogram 12" o:spid="_x0000_s1036" style="position:absolute;left:3042;top:4031;width:12592;height:18675;rotation:-75;visibility:visible;mso-wrap-style:square;v-text-anchor:middle" coordsize="1260018,186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WWugAAANoAAAAPAAAAZHJzL2Rvd25yZXYueG1sRE+9CsIw&#10;EN4F3yGc4KapgiLVKKIIDoJYdT+asyk2l9LEWt/eDILjx/e/2nS2Ei01vnSsYDJOQBDnTpdcKLhd&#10;D6MFCB+QNVaOScGHPGzW/d4KU+3efKE2C4WIIexTVGBCqFMpfW7Ioh+7mjhyD9dYDBE2hdQNvmO4&#10;reQ0SebSYsmxwWBNO0P5M3tZBfJ8Cu3N3ZGz/X1ans3sku1rpYaDbrsEEagLf/HPfdQK4tZ4Jd4A&#10;uf4CAAD//wMAUEsBAi0AFAAGAAgAAAAhANvh9svuAAAAhQEAABMAAAAAAAAAAAAAAAAAAAAAAFtD&#10;b250ZW50X1R5cGVzXS54bWxQSwECLQAUAAYACAAAACEAWvQsW78AAAAVAQAACwAAAAAAAAAAAAAA&#10;AAAfAQAAX3JlbHMvLnJlbHNQSwECLQAUAAYACAAAACEATkt1lroAAADaAAAADwAAAAAAAAAAAAAA&#10;AAAHAgAAZHJzL2Rvd25yZXYueG1sUEsFBgAAAAADAAMAtwAAAO4CAAAAAA==&#10;" path="m,1167498l728456,r531562,180603l181009,1868187,,1167498xe" fillcolor="#1cade4 [3204]" stroked="f" strokeweight="1pt">
                  <v:fill color2="#192d39 [1615]" rotate="t" angle="120" colors="0 #1cade4;17039f #1cade4" focus="100%" type="gradient">
                    <o:fill v:ext="view" type="gradientUnscaled"/>
                  </v:fill>
                  <v:stroke joinstyle="miter"/>
                  <v:path arrowok="t" o:connecttype="custom" o:connectlocs="0,1167091;727986,0;1259205,180540;180892,1867535;0,1167091" o:connectangles="0,0,0,0,0"/>
                </v:shape>
                <v:shape id="Parallelogram 10" o:spid="_x0000_s1037" style="position:absolute;left:345;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VQwQAAANsAAAAPAAAAZHJzL2Rvd25yZXYueG1sRE9Na8JA&#10;EL0L/odlCr2ZTQ0VSV2lCEqop6o99DbJTpPQ7GzY3Sbpv3cLBW/zeJ+z2U2mEwM531pW8JSkIIgr&#10;q1uuFVwvh8UahA/IGjvLpOCXPOy289kGc21HfqfhHGoRQ9jnqKAJoc+l9FVDBn1ie+LIfVlnMETo&#10;aqkdjjHcdHKZpitpsOXY0GBP+4aq7/OPUVBQxln29vlcHsuxcycf0ulDK/X4ML2+gAg0hbv4313o&#10;OH8Jf7/EA+T2BgAA//8DAFBLAQItABQABgAIAAAAIQDb4fbL7gAAAIUBAAATAAAAAAAAAAAAAAAA&#10;AAAAAABbQ29udGVudF9UeXBlc10ueG1sUEsBAi0AFAAGAAgAAAAhAFr0LFu/AAAAFQEAAAsAAAAA&#10;AAAAAAAAAAAAHwEAAF9yZWxzLy5yZWxzUEsBAi0AFAAGAAgAAAAhAPWIRVDBAAAA2wAAAA8AAAAA&#10;AAAAAAAAAAAABwIAAGRycy9kb3ducmV2LnhtbFBLBQYAAAAAAwADALcAAAD1AgAAAAA=&#10;" path="m,1003484l671420,r587513,7950l394780,1408259,,1003484xe" fillcolor="#1cade4 [3204]" stroked="f" strokeweight="1pt">
                  <v:stroke joinstyle="miter"/>
                  <v:path arrowok="t" o:connecttype="custom" o:connectlocs="0,1003153;670888,0;1257935,7947;394467,1407795;0,1003153" o:connectangles="0,0,0,0,0"/>
                </v:shape>
              </v:group>
              <v:shape id="Parallelogram 10" o:spid="_x0000_s1038" style="position:absolute;width:24047;height:26910;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4uxAAAANsAAAAPAAAAZHJzL2Rvd25yZXYueG1sRI9Ba8JA&#10;FITvBf/D8oTe6iYeVKKrSFGoUAU1Fo+P7GsSmn0bdrca/70rCB6HmfmGmS0604gLOV9bVpAOEhDE&#10;hdU1lwry4/pjAsIHZI2NZVJwIw+Lee9thpm2V97T5RBKESHsM1RQhdBmUvqiIoN+YFvi6P1aZzBE&#10;6UqpHV4j3DRymCQjabDmuFBhS58VFX+Hf6MAdz9tMV5t0u05X968+87Px1Oi1Hu/W05BBOrCK/xs&#10;f2kFwxQeX+IPkPM7AAAA//8DAFBLAQItABQABgAIAAAAIQDb4fbL7gAAAIUBAAATAAAAAAAAAAAA&#10;AAAAAAAAAABbQ29udGVudF9UeXBlc10ueG1sUEsBAi0AFAAGAAgAAAAhAFr0LFu/AAAAFQEAAAsA&#10;AAAAAAAAAAAAAAAAHwEAAF9yZWxzLy5yZWxzUEsBAi0AFAAGAAgAAAAhAICf3i7EAAAA2wAAAA8A&#10;AAAAAAAAAAAAAAAABwIAAGRycy9kb3ducmV2LnhtbFBLBQYAAAAAAwADALcAAAD4AgAAAAA=&#10;" path="m,1003484l671420,r587513,7950l394780,1408259,,1003484xe" fillcolor="#1cade4 [3204]" stroked="f" strokeweight="1pt">
                <v:fill color2="#1481ab [2404]" rotate="t" colors="0 #1cade4;62259f #1482ac" focus="100%" type="gradient"/>
                <v:stroke joinstyle="miter"/>
                <v:path arrowok="t" o:connecttype="custom" o:connectlocs="0,1917566;1282523,0;2404769,15192;754095,2691054;0,1917566" o:connectangles="0,0,0,0,0"/>
              </v:shape>
              <v:rect id="Rectangle 23" o:spid="_x0000_s1039" style="position:absolute;left:17335;top:20859;width:80828;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hxAAAANsAAAAPAAAAZHJzL2Rvd25yZXYueG1sRI9Ba8JA&#10;FITvQv/D8gredKOiSHSVthixIAVT8fzIPpPY7NuQXWP8925B8DjMzDfMct2ZSrTUuNKygtEwAkGc&#10;WV1yruD4mwzmIJxH1lhZJgV3crBevfWWGGt74wO1qc9FgLCLUUHhfR1L6bKCDLqhrYmDd7aNQR9k&#10;k0vd4C3ATSXHUTSTBksOCwXW9FVQ9pdejYJveznJ/TZts9nneXq4zpOfTTJSqv/efSxAeOr8K/xs&#10;77SC8QT+v4QfIFcPAAAA//8DAFBLAQItABQABgAIAAAAIQDb4fbL7gAAAIUBAAATAAAAAAAAAAAA&#10;AAAAAAAAAABbQ29udGVudF9UeXBlc10ueG1sUEsBAi0AFAAGAAgAAAAhAFr0LFu/AAAAFQEAAAsA&#10;AAAAAAAAAAAAAAAAHwEAAF9yZWxzLy5yZWxzUEsBAi0AFAAGAAgAAAAhALP7MuHEAAAA2wAAAA8A&#10;AAAAAAAAAAAAAAAABwIAAGRycy9kb3ducmV2LnhtbFBLBQYAAAAAAwADALcAAAD4AgAAAAA=&#10;" fillcolor="#1cade4 [3204]" stroked="f" strokeweight="1pt">
                <v:fill color2="#1481ab [2404]" rotate="t" angle="270" colors="0 #1cade4;62259f #1482ac" focus="100%" type="gradient"/>
              </v:rect>
              <w10:wrap anchorx="page" anchory="page"/>
            </v:group>
          </w:pict>
        </mc:Fallback>
      </mc:AlternateContent>
    </w:r>
    <w:r>
      <w:rPr>
        <w:noProof/>
        <w:color w:val="auto"/>
        <w:lang w:val="en-GB" w:eastAsia="en-GB"/>
      </w:rPr>
      <w:drawing>
        <wp:anchor distT="0" distB="0" distL="114300" distR="114300" simplePos="0" relativeHeight="251659776" behindDoc="0" locked="0" layoutInCell="1" allowOverlap="1">
          <wp:simplePos x="0" y="0"/>
          <wp:positionH relativeFrom="column">
            <wp:posOffset>5435600</wp:posOffset>
          </wp:positionH>
          <wp:positionV relativeFrom="page">
            <wp:posOffset>355600</wp:posOffset>
          </wp:positionV>
          <wp:extent cx="1040130" cy="1317625"/>
          <wp:effectExtent l="0" t="0" r="762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transparatent.gif"/>
                  <pic:cNvPicPr/>
                </pic:nvPicPr>
                <pic:blipFill>
                  <a:blip r:embed="rId1">
                    <a:extLst>
                      <a:ext uri="{28A0092B-C50C-407E-A947-70E740481C1C}">
                        <a14:useLocalDpi xmlns:a14="http://schemas.microsoft.com/office/drawing/2010/main" val="0"/>
                      </a:ext>
                    </a:extLst>
                  </a:blip>
                  <a:stretch>
                    <a:fillRect/>
                  </a:stretch>
                </pic:blipFill>
                <pic:spPr>
                  <a:xfrm>
                    <a:off x="0" y="0"/>
                    <a:ext cx="1040130" cy="1317625"/>
                  </a:xfrm>
                  <a:prstGeom prst="rect">
                    <a:avLst/>
                  </a:prstGeom>
                </pic:spPr>
              </pic:pic>
            </a:graphicData>
          </a:graphic>
        </wp:anchor>
      </w:drawing>
    </w:r>
    <w:r>
      <w:rPr>
        <w:noProof/>
        <w:color w:val="auto"/>
        <w:lang w:val="en-GB" w:eastAsia="en-GB"/>
      </w:rPr>
      <w:drawing>
        <wp:anchor distT="0" distB="0" distL="114300" distR="114300" simplePos="0" relativeHeight="251660800" behindDoc="0" locked="0" layoutInCell="1" allowOverlap="1">
          <wp:simplePos x="0" y="0"/>
          <wp:positionH relativeFrom="column">
            <wp:posOffset>5435600</wp:posOffset>
          </wp:positionH>
          <wp:positionV relativeFrom="page">
            <wp:posOffset>355600</wp:posOffset>
          </wp:positionV>
          <wp:extent cx="1040130" cy="131762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transparatent.gif"/>
                  <pic:cNvPicPr/>
                </pic:nvPicPr>
                <pic:blipFill>
                  <a:blip r:embed="rId1">
                    <a:extLst>
                      <a:ext uri="{28A0092B-C50C-407E-A947-70E740481C1C}">
                        <a14:useLocalDpi xmlns:a14="http://schemas.microsoft.com/office/drawing/2010/main" val="0"/>
                      </a:ext>
                    </a:extLst>
                  </a:blip>
                  <a:stretch>
                    <a:fillRect/>
                  </a:stretch>
                </pic:blipFill>
                <pic:spPr>
                  <a:xfrm>
                    <a:off x="0" y="0"/>
                    <a:ext cx="1040130" cy="1317625"/>
                  </a:xfrm>
                  <a:prstGeom prst="rect">
                    <a:avLst/>
                  </a:prstGeom>
                </pic:spPr>
              </pic:pic>
            </a:graphicData>
          </a:graphic>
        </wp:anchor>
      </w:drawing>
    </w:r>
    <w:r>
      <w:rPr>
        <w:rFonts w:ascii="Cambria" w:hAnsi="Cambria" w:cs="Calibri"/>
        <w:b/>
        <w:bCs/>
        <w:color w:val="17365D"/>
        <w:sz w:val="22"/>
        <w:szCs w:val="22"/>
        <w:lang w:val="en"/>
      </w:rPr>
      <w:t>Brownedge St Mary’s Catholic High School, Station Road, Bamber Bridge, Preston PR5 6PBTelephone: 01772 339813</w:t>
    </w:r>
    <w:r>
      <w:rPr>
        <w:rFonts w:ascii="Cambria" w:hAnsi="Cambria" w:cs="Calibri"/>
        <w:b/>
        <w:bCs/>
        <w:color w:val="17365D"/>
        <w:sz w:val="22"/>
        <w:szCs w:val="22"/>
        <w:lang w:val="en"/>
      </w:rPr>
      <w:tab/>
      <w:t>Email: bursar@st-maryshigh.lancs.sch.uk   @BrownedgeStMarys</w:t>
    </w:r>
  </w:p>
  <w:p>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52" type="#_x0000_t75" style="width:208.5pt;height:330.75pt" o:bullet="t">
        <v:imagedata r:id="rId1" o:title="TK_LOGO_POINTER_RGB_BULLET"/>
      </v:shape>
    </w:pict>
  </w:numPicBullet>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00125A5D"/>
    <w:multiLevelType w:val="hybridMultilevel"/>
    <w:tmpl w:val="BEBA9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766192"/>
    <w:multiLevelType w:val="hybridMultilevel"/>
    <w:tmpl w:val="8852409E"/>
    <w:lvl w:ilvl="0" w:tplc="FFFFFFFF">
      <w:start w:val="1"/>
      <w:numFmt w:val="decimal"/>
      <w:lvlText w:val="%1."/>
      <w:lvlJc w:val="left"/>
      <w:pPr>
        <w:ind w:left="435" w:hanging="360"/>
      </w:pPr>
    </w:lvl>
    <w:lvl w:ilvl="1" w:tplc="08090019">
      <w:start w:val="1"/>
      <w:numFmt w:val="lowerLetter"/>
      <w:lvlText w:val="%2."/>
      <w:lvlJc w:val="left"/>
      <w:pPr>
        <w:ind w:left="1155" w:hanging="360"/>
      </w:pPr>
    </w:lvl>
    <w:lvl w:ilvl="2" w:tplc="0809001B">
      <w:start w:val="1"/>
      <w:numFmt w:val="lowerRoman"/>
      <w:lvlText w:val="%3."/>
      <w:lvlJc w:val="right"/>
      <w:pPr>
        <w:ind w:left="1875" w:hanging="180"/>
      </w:pPr>
    </w:lvl>
    <w:lvl w:ilvl="3" w:tplc="0809000F">
      <w:start w:val="1"/>
      <w:numFmt w:val="decimal"/>
      <w:lvlText w:val="%4."/>
      <w:lvlJc w:val="left"/>
      <w:pPr>
        <w:ind w:left="2595" w:hanging="360"/>
      </w:pPr>
    </w:lvl>
    <w:lvl w:ilvl="4" w:tplc="08090019">
      <w:start w:val="1"/>
      <w:numFmt w:val="lowerLetter"/>
      <w:lvlText w:val="%5."/>
      <w:lvlJc w:val="left"/>
      <w:pPr>
        <w:ind w:left="3315" w:hanging="360"/>
      </w:pPr>
    </w:lvl>
    <w:lvl w:ilvl="5" w:tplc="0809001B">
      <w:start w:val="1"/>
      <w:numFmt w:val="lowerRoman"/>
      <w:lvlText w:val="%6."/>
      <w:lvlJc w:val="right"/>
      <w:pPr>
        <w:ind w:left="4035" w:hanging="180"/>
      </w:pPr>
    </w:lvl>
    <w:lvl w:ilvl="6" w:tplc="0809000F">
      <w:start w:val="1"/>
      <w:numFmt w:val="decimal"/>
      <w:lvlText w:val="%7."/>
      <w:lvlJc w:val="left"/>
      <w:pPr>
        <w:ind w:left="4755" w:hanging="360"/>
      </w:pPr>
    </w:lvl>
    <w:lvl w:ilvl="7" w:tplc="08090019">
      <w:start w:val="1"/>
      <w:numFmt w:val="lowerLetter"/>
      <w:lvlText w:val="%8."/>
      <w:lvlJc w:val="left"/>
      <w:pPr>
        <w:ind w:left="5475" w:hanging="360"/>
      </w:pPr>
    </w:lvl>
    <w:lvl w:ilvl="8" w:tplc="0809001B">
      <w:start w:val="1"/>
      <w:numFmt w:val="lowerRoman"/>
      <w:lvlText w:val="%9."/>
      <w:lvlJc w:val="right"/>
      <w:pPr>
        <w:ind w:left="6195" w:hanging="180"/>
      </w:pPr>
    </w:lvl>
  </w:abstractNum>
  <w:abstractNum w:abstractNumId="3"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4" w15:restartNumberingAfterBreak="0">
    <w:nsid w:val="05070F3E"/>
    <w:multiLevelType w:val="hybridMultilevel"/>
    <w:tmpl w:val="CED8D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2B3E38"/>
    <w:multiLevelType w:val="hybridMultilevel"/>
    <w:tmpl w:val="6ABE99D4"/>
    <w:lvl w:ilvl="0" w:tplc="0214167E">
      <w:start w:val="1"/>
      <w:numFmt w:val="decimal"/>
      <w:lvlText w:val="%1."/>
      <w:lvlJc w:val="left"/>
      <w:pPr>
        <w:ind w:left="720" w:hanging="360"/>
      </w:pPr>
      <w:rPr>
        <w:rFonts w:asciiTheme="minorHAnsi" w:eastAsiaTheme="minorEastAsia" w:hAnsiTheme="minorHAns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A26D39"/>
    <w:multiLevelType w:val="hybridMultilevel"/>
    <w:tmpl w:val="E236D3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721221"/>
    <w:multiLevelType w:val="hybridMultilevel"/>
    <w:tmpl w:val="93C22552"/>
    <w:lvl w:ilvl="0" w:tplc="26CE2104">
      <w:start w:val="1"/>
      <w:numFmt w:val="decimal"/>
      <w:lvlText w:val="%1."/>
      <w:lvlJc w:val="left"/>
      <w:pPr>
        <w:ind w:left="834"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8" w15:restartNumberingAfterBreak="0">
    <w:nsid w:val="0D1C1492"/>
    <w:multiLevelType w:val="hybridMultilevel"/>
    <w:tmpl w:val="95A2DB4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9" w15:restartNumberingAfterBreak="0">
    <w:nsid w:val="0F402B2D"/>
    <w:multiLevelType w:val="hybridMultilevel"/>
    <w:tmpl w:val="4A866248"/>
    <w:lvl w:ilvl="0" w:tplc="0809000F">
      <w:start w:val="1"/>
      <w:numFmt w:val="decimal"/>
      <w:lvlText w:val="%1."/>
      <w:lvlJc w:val="left"/>
      <w:pPr>
        <w:ind w:left="1647" w:hanging="360"/>
      </w:p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10" w15:restartNumberingAfterBreak="0">
    <w:nsid w:val="0F695B86"/>
    <w:multiLevelType w:val="hybridMultilevel"/>
    <w:tmpl w:val="BCAEE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73715A"/>
    <w:multiLevelType w:val="hybridMultilevel"/>
    <w:tmpl w:val="C19C3382"/>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109B4A9E"/>
    <w:multiLevelType w:val="hybridMultilevel"/>
    <w:tmpl w:val="85B4C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BD41B3"/>
    <w:multiLevelType w:val="hybridMultilevel"/>
    <w:tmpl w:val="46EC24E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92152A"/>
    <w:multiLevelType w:val="hybridMultilevel"/>
    <w:tmpl w:val="57C80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4638D7"/>
    <w:multiLevelType w:val="hybridMultilevel"/>
    <w:tmpl w:val="C06C69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E81C26"/>
    <w:multiLevelType w:val="hybridMultilevel"/>
    <w:tmpl w:val="2CE4B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97581A"/>
    <w:multiLevelType w:val="hybridMultilevel"/>
    <w:tmpl w:val="CB1C7A1C"/>
    <w:lvl w:ilvl="0" w:tplc="7CFA226E">
      <w:start w:val="1"/>
      <w:numFmt w:val="bullet"/>
      <w:pStyle w:val="3Bulletedcopypink"/>
      <w:lvlText w:val=""/>
      <w:lvlPicBulletId w:val="0"/>
      <w:lvlJc w:val="left"/>
      <w:pPr>
        <w:ind w:left="34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717E7"/>
    <w:multiLevelType w:val="hybridMultilevel"/>
    <w:tmpl w:val="7A6AB916"/>
    <w:lvl w:ilvl="0" w:tplc="2FCB7D11">
      <w:numFmt w:val="bullet"/>
      <w:lvlText w:val="·"/>
      <w:lvlJc w:val="left"/>
      <w:pPr>
        <w:ind w:left="990" w:hanging="360"/>
      </w:pPr>
      <w:rPr>
        <w:rFonts w:ascii="Symbol" w:hAnsi="Symbol" w:cs="Symbol"/>
        <w:snapToGrid/>
        <w:sz w:val="22"/>
        <w:szCs w:val="2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2ED96B37"/>
    <w:multiLevelType w:val="hybridMultilevel"/>
    <w:tmpl w:val="69DEE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C12AB1"/>
    <w:multiLevelType w:val="hybridMultilevel"/>
    <w:tmpl w:val="1286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860C1B"/>
    <w:multiLevelType w:val="hybridMultilevel"/>
    <w:tmpl w:val="31B676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0F5198"/>
    <w:multiLevelType w:val="hybridMultilevel"/>
    <w:tmpl w:val="1A9411B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0A2B63"/>
    <w:multiLevelType w:val="hybridMultilevel"/>
    <w:tmpl w:val="6F8E1B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12E0BFB"/>
    <w:multiLevelType w:val="hybridMultilevel"/>
    <w:tmpl w:val="81007F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85159F9"/>
    <w:multiLevelType w:val="hybridMultilevel"/>
    <w:tmpl w:val="4F480E00"/>
    <w:lvl w:ilvl="0" w:tplc="04090001">
      <w:start w:val="1"/>
      <w:numFmt w:val="bullet"/>
      <w:lvlText w:val=""/>
      <w:lvlJc w:val="left"/>
      <w:pPr>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92311A"/>
    <w:multiLevelType w:val="hybridMultilevel"/>
    <w:tmpl w:val="34FAA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2D6DFB"/>
    <w:multiLevelType w:val="hybridMultilevel"/>
    <w:tmpl w:val="8852409E"/>
    <w:lvl w:ilvl="0" w:tplc="FFFFFFFF">
      <w:start w:val="1"/>
      <w:numFmt w:val="decimal"/>
      <w:lvlText w:val="%1."/>
      <w:lvlJc w:val="left"/>
      <w:pPr>
        <w:ind w:left="435" w:hanging="360"/>
      </w:pPr>
    </w:lvl>
    <w:lvl w:ilvl="1" w:tplc="08090019">
      <w:start w:val="1"/>
      <w:numFmt w:val="lowerLetter"/>
      <w:lvlText w:val="%2."/>
      <w:lvlJc w:val="left"/>
      <w:pPr>
        <w:ind w:left="1155" w:hanging="360"/>
      </w:pPr>
    </w:lvl>
    <w:lvl w:ilvl="2" w:tplc="0809001B">
      <w:start w:val="1"/>
      <w:numFmt w:val="lowerRoman"/>
      <w:lvlText w:val="%3."/>
      <w:lvlJc w:val="right"/>
      <w:pPr>
        <w:ind w:left="1875" w:hanging="180"/>
      </w:pPr>
    </w:lvl>
    <w:lvl w:ilvl="3" w:tplc="0809000F">
      <w:start w:val="1"/>
      <w:numFmt w:val="decimal"/>
      <w:lvlText w:val="%4."/>
      <w:lvlJc w:val="left"/>
      <w:pPr>
        <w:ind w:left="2595" w:hanging="360"/>
      </w:pPr>
    </w:lvl>
    <w:lvl w:ilvl="4" w:tplc="08090019">
      <w:start w:val="1"/>
      <w:numFmt w:val="lowerLetter"/>
      <w:lvlText w:val="%5."/>
      <w:lvlJc w:val="left"/>
      <w:pPr>
        <w:ind w:left="3315" w:hanging="360"/>
      </w:pPr>
    </w:lvl>
    <w:lvl w:ilvl="5" w:tplc="0809001B">
      <w:start w:val="1"/>
      <w:numFmt w:val="lowerRoman"/>
      <w:lvlText w:val="%6."/>
      <w:lvlJc w:val="right"/>
      <w:pPr>
        <w:ind w:left="4035" w:hanging="180"/>
      </w:pPr>
    </w:lvl>
    <w:lvl w:ilvl="6" w:tplc="0809000F">
      <w:start w:val="1"/>
      <w:numFmt w:val="decimal"/>
      <w:lvlText w:val="%7."/>
      <w:lvlJc w:val="left"/>
      <w:pPr>
        <w:ind w:left="4755" w:hanging="360"/>
      </w:pPr>
    </w:lvl>
    <w:lvl w:ilvl="7" w:tplc="08090019">
      <w:start w:val="1"/>
      <w:numFmt w:val="lowerLetter"/>
      <w:lvlText w:val="%8."/>
      <w:lvlJc w:val="left"/>
      <w:pPr>
        <w:ind w:left="5475" w:hanging="360"/>
      </w:pPr>
    </w:lvl>
    <w:lvl w:ilvl="8" w:tplc="0809001B">
      <w:start w:val="1"/>
      <w:numFmt w:val="lowerRoman"/>
      <w:lvlText w:val="%9."/>
      <w:lvlJc w:val="right"/>
      <w:pPr>
        <w:ind w:left="6195" w:hanging="180"/>
      </w:pPr>
    </w:lvl>
  </w:abstractNum>
  <w:abstractNum w:abstractNumId="29" w15:restartNumberingAfterBreak="0">
    <w:nsid w:val="5F47037C"/>
    <w:multiLevelType w:val="hybridMultilevel"/>
    <w:tmpl w:val="B8F40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FF6A4C"/>
    <w:multiLevelType w:val="hybridMultilevel"/>
    <w:tmpl w:val="4FB896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9B773E"/>
    <w:multiLevelType w:val="hybridMultilevel"/>
    <w:tmpl w:val="CFF46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F3071F"/>
    <w:multiLevelType w:val="hybridMultilevel"/>
    <w:tmpl w:val="9B5A3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7837B4"/>
    <w:multiLevelType w:val="hybridMultilevel"/>
    <w:tmpl w:val="498C0EE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D14C9E"/>
    <w:multiLevelType w:val="hybridMultilevel"/>
    <w:tmpl w:val="35325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E0693D"/>
    <w:multiLevelType w:val="hybridMultilevel"/>
    <w:tmpl w:val="17240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1E82B85"/>
    <w:multiLevelType w:val="hybridMultilevel"/>
    <w:tmpl w:val="A0928CD2"/>
    <w:lvl w:ilvl="0" w:tplc="08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733C1551"/>
    <w:multiLevelType w:val="hybridMultilevel"/>
    <w:tmpl w:val="E5DE3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5D16F3"/>
    <w:multiLevelType w:val="hybridMultilevel"/>
    <w:tmpl w:val="60506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F8545A"/>
    <w:multiLevelType w:val="hybridMultilevel"/>
    <w:tmpl w:val="8852409E"/>
    <w:lvl w:ilvl="0" w:tplc="FFFFFFFF">
      <w:start w:val="1"/>
      <w:numFmt w:val="decimal"/>
      <w:lvlText w:val="%1."/>
      <w:lvlJc w:val="left"/>
      <w:pPr>
        <w:ind w:left="435" w:hanging="360"/>
      </w:pPr>
    </w:lvl>
    <w:lvl w:ilvl="1" w:tplc="08090019">
      <w:start w:val="1"/>
      <w:numFmt w:val="lowerLetter"/>
      <w:lvlText w:val="%2."/>
      <w:lvlJc w:val="left"/>
      <w:pPr>
        <w:ind w:left="1155" w:hanging="360"/>
      </w:pPr>
    </w:lvl>
    <w:lvl w:ilvl="2" w:tplc="0809001B">
      <w:start w:val="1"/>
      <w:numFmt w:val="lowerRoman"/>
      <w:lvlText w:val="%3."/>
      <w:lvlJc w:val="right"/>
      <w:pPr>
        <w:ind w:left="1875" w:hanging="180"/>
      </w:pPr>
    </w:lvl>
    <w:lvl w:ilvl="3" w:tplc="0809000F">
      <w:start w:val="1"/>
      <w:numFmt w:val="decimal"/>
      <w:lvlText w:val="%4."/>
      <w:lvlJc w:val="left"/>
      <w:pPr>
        <w:ind w:left="2595" w:hanging="360"/>
      </w:pPr>
    </w:lvl>
    <w:lvl w:ilvl="4" w:tplc="08090019">
      <w:start w:val="1"/>
      <w:numFmt w:val="lowerLetter"/>
      <w:lvlText w:val="%5."/>
      <w:lvlJc w:val="left"/>
      <w:pPr>
        <w:ind w:left="3315" w:hanging="360"/>
      </w:pPr>
    </w:lvl>
    <w:lvl w:ilvl="5" w:tplc="0809001B">
      <w:start w:val="1"/>
      <w:numFmt w:val="lowerRoman"/>
      <w:lvlText w:val="%6."/>
      <w:lvlJc w:val="right"/>
      <w:pPr>
        <w:ind w:left="4035" w:hanging="180"/>
      </w:pPr>
    </w:lvl>
    <w:lvl w:ilvl="6" w:tplc="0809000F">
      <w:start w:val="1"/>
      <w:numFmt w:val="decimal"/>
      <w:lvlText w:val="%7."/>
      <w:lvlJc w:val="left"/>
      <w:pPr>
        <w:ind w:left="4755" w:hanging="360"/>
      </w:pPr>
    </w:lvl>
    <w:lvl w:ilvl="7" w:tplc="08090019">
      <w:start w:val="1"/>
      <w:numFmt w:val="lowerLetter"/>
      <w:lvlText w:val="%8."/>
      <w:lvlJc w:val="left"/>
      <w:pPr>
        <w:ind w:left="5475" w:hanging="360"/>
      </w:pPr>
    </w:lvl>
    <w:lvl w:ilvl="8" w:tplc="0809001B">
      <w:start w:val="1"/>
      <w:numFmt w:val="lowerRoman"/>
      <w:lvlText w:val="%9."/>
      <w:lvlJc w:val="right"/>
      <w:pPr>
        <w:ind w:left="6195" w:hanging="180"/>
      </w:pPr>
    </w:lvl>
  </w:abstractNum>
  <w:abstractNum w:abstractNumId="41" w15:restartNumberingAfterBreak="0">
    <w:nsid w:val="75407789"/>
    <w:multiLevelType w:val="hybridMultilevel"/>
    <w:tmpl w:val="150E23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610613"/>
    <w:multiLevelType w:val="hybridMultilevel"/>
    <w:tmpl w:val="6D8C0D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702783104">
    <w:abstractNumId w:val="0"/>
  </w:num>
  <w:num w:numId="2" w16cid:durableId="1209997856">
    <w:abstractNumId w:val="21"/>
  </w:num>
  <w:num w:numId="3" w16cid:durableId="941913388">
    <w:abstractNumId w:val="32"/>
  </w:num>
  <w:num w:numId="4" w16cid:durableId="267853863">
    <w:abstractNumId w:val="34"/>
  </w:num>
  <w:num w:numId="5" w16cid:durableId="1419863815">
    <w:abstractNumId w:val="25"/>
  </w:num>
  <w:num w:numId="6" w16cid:durableId="1809399325">
    <w:abstractNumId w:val="17"/>
  </w:num>
  <w:num w:numId="7" w16cid:durableId="300815397">
    <w:abstractNumId w:val="8"/>
  </w:num>
  <w:num w:numId="8" w16cid:durableId="1630238002">
    <w:abstractNumId w:val="17"/>
  </w:num>
  <w:num w:numId="9" w16cid:durableId="169222817">
    <w:abstractNumId w:val="25"/>
  </w:num>
  <w:num w:numId="10" w16cid:durableId="149256806">
    <w:abstractNumId w:val="36"/>
  </w:num>
  <w:num w:numId="11" w16cid:durableId="1566837081">
    <w:abstractNumId w:val="17"/>
  </w:num>
  <w:num w:numId="12" w16cid:durableId="1142427028">
    <w:abstractNumId w:val="30"/>
  </w:num>
  <w:num w:numId="13" w16cid:durableId="623849527">
    <w:abstractNumId w:val="16"/>
  </w:num>
  <w:num w:numId="14" w16cid:durableId="66541172">
    <w:abstractNumId w:val="12"/>
  </w:num>
  <w:num w:numId="15" w16cid:durableId="1883319089">
    <w:abstractNumId w:val="19"/>
  </w:num>
  <w:num w:numId="16" w16cid:durableId="1070813289">
    <w:abstractNumId w:val="3"/>
    <w:lvlOverride w:ilvl="0">
      <w:lvl w:ilvl="0">
        <w:numFmt w:val="bullet"/>
        <w:lvlText w:val="·"/>
        <w:lvlJc w:val="left"/>
        <w:pPr>
          <w:tabs>
            <w:tab w:val="num" w:pos="1368"/>
          </w:tabs>
          <w:ind w:left="1368" w:hanging="432"/>
        </w:pPr>
        <w:rPr>
          <w:rFonts w:ascii="Symbol" w:hAnsi="Symbol" w:cs="Symbol"/>
          <w:snapToGrid/>
          <w:sz w:val="22"/>
          <w:szCs w:val="22"/>
        </w:rPr>
      </w:lvl>
    </w:lvlOverride>
  </w:num>
  <w:num w:numId="17" w16cid:durableId="2046438872">
    <w:abstractNumId w:val="3"/>
    <w:lvlOverride w:ilvl="0">
      <w:lvl w:ilvl="0">
        <w:numFmt w:val="bullet"/>
        <w:lvlText w:val="·"/>
        <w:lvlJc w:val="left"/>
        <w:pPr>
          <w:tabs>
            <w:tab w:val="num" w:pos="1296"/>
          </w:tabs>
          <w:ind w:left="1296" w:hanging="360"/>
        </w:pPr>
        <w:rPr>
          <w:rFonts w:ascii="Symbol" w:hAnsi="Symbol" w:cs="Symbol"/>
          <w:snapToGrid/>
          <w:spacing w:val="1"/>
          <w:sz w:val="22"/>
          <w:szCs w:val="22"/>
        </w:rPr>
      </w:lvl>
    </w:lvlOverride>
  </w:num>
  <w:num w:numId="18" w16cid:durableId="650066124">
    <w:abstractNumId w:val="3"/>
    <w:lvlOverride w:ilvl="0">
      <w:lvl w:ilvl="0">
        <w:numFmt w:val="bullet"/>
        <w:lvlText w:val="·"/>
        <w:lvlJc w:val="left"/>
        <w:pPr>
          <w:tabs>
            <w:tab w:val="num" w:pos="1080"/>
          </w:tabs>
          <w:ind w:left="1080" w:hanging="360"/>
        </w:pPr>
        <w:rPr>
          <w:rFonts w:ascii="Symbol" w:hAnsi="Symbol" w:cs="Symbol"/>
          <w:snapToGrid/>
          <w:spacing w:val="1"/>
          <w:sz w:val="22"/>
          <w:szCs w:val="22"/>
        </w:rPr>
      </w:lvl>
    </w:lvlOverride>
  </w:num>
  <w:num w:numId="19" w16cid:durableId="334651384">
    <w:abstractNumId w:val="18"/>
  </w:num>
  <w:num w:numId="20" w16cid:durableId="1925142001">
    <w:abstractNumId w:val="24"/>
  </w:num>
  <w:num w:numId="21" w16cid:durableId="640772497">
    <w:abstractNumId w:val="6"/>
  </w:num>
  <w:num w:numId="22" w16cid:durableId="1368719397">
    <w:abstractNumId w:val="20"/>
  </w:num>
  <w:num w:numId="23" w16cid:durableId="603223596">
    <w:abstractNumId w:val="7"/>
  </w:num>
  <w:num w:numId="24" w16cid:durableId="71705229">
    <w:abstractNumId w:val="4"/>
  </w:num>
  <w:num w:numId="25" w16cid:durableId="246116336">
    <w:abstractNumId w:val="14"/>
  </w:num>
  <w:num w:numId="26" w16cid:durableId="75631618">
    <w:abstractNumId w:val="10"/>
  </w:num>
  <w:num w:numId="27" w16cid:durableId="14080671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30907084">
    <w:abstractNumId w:val="28"/>
  </w:num>
  <w:num w:numId="29" w16cid:durableId="1083994029">
    <w:abstractNumId w:val="40"/>
  </w:num>
  <w:num w:numId="30" w16cid:durableId="1907912549">
    <w:abstractNumId w:val="2"/>
  </w:num>
  <w:num w:numId="31" w16cid:durableId="498152536">
    <w:abstractNumId w:val="1"/>
  </w:num>
  <w:num w:numId="32" w16cid:durableId="252469617">
    <w:abstractNumId w:val="37"/>
  </w:num>
  <w:num w:numId="33" w16cid:durableId="138574211">
    <w:abstractNumId w:val="26"/>
  </w:num>
  <w:num w:numId="34" w16cid:durableId="1123812458">
    <w:abstractNumId w:val="13"/>
  </w:num>
  <w:num w:numId="35" w16cid:durableId="478570282">
    <w:abstractNumId w:val="15"/>
  </w:num>
  <w:num w:numId="36" w16cid:durableId="1654408107">
    <w:abstractNumId w:val="42"/>
  </w:num>
  <w:num w:numId="37" w16cid:durableId="131562522">
    <w:abstractNumId w:val="31"/>
  </w:num>
  <w:num w:numId="38" w16cid:durableId="1367295415">
    <w:abstractNumId w:val="23"/>
  </w:num>
  <w:num w:numId="39" w16cid:durableId="1475027261">
    <w:abstractNumId w:val="41"/>
  </w:num>
  <w:num w:numId="40" w16cid:durableId="1777409375">
    <w:abstractNumId w:val="11"/>
  </w:num>
  <w:num w:numId="41" w16cid:durableId="1250893649">
    <w:abstractNumId w:val="5"/>
  </w:num>
  <w:num w:numId="42" w16cid:durableId="43413672">
    <w:abstractNumId w:val="22"/>
  </w:num>
  <w:num w:numId="43" w16cid:durableId="2109931684">
    <w:abstractNumId w:val="39"/>
  </w:num>
  <w:num w:numId="44" w16cid:durableId="1488663972">
    <w:abstractNumId w:val="9"/>
  </w:num>
  <w:num w:numId="45" w16cid:durableId="507674320">
    <w:abstractNumId w:val="27"/>
  </w:num>
  <w:num w:numId="46" w16cid:durableId="880896889">
    <w:abstractNumId w:val="29"/>
  </w:num>
  <w:num w:numId="47" w16cid:durableId="1134713787">
    <w:abstractNumId w:val="33"/>
  </w:num>
  <w:num w:numId="48" w16cid:durableId="1628510237">
    <w:abstractNumId w:val="38"/>
  </w:num>
  <w:num w:numId="49" w16cid:durableId="91574551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E7459E-A698-433B-8747-45B6A67C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D0D0D" w:themeColor="text1" w:themeTint="F2"/>
        <w:sz w:val="22"/>
        <w:szCs w:val="22"/>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404040" w:themeColor="text1" w:themeTint="BF"/>
      <w:sz w:val="24"/>
      <w:szCs w:val="20"/>
    </w:rPr>
  </w:style>
  <w:style w:type="paragraph" w:styleId="Heading1">
    <w:name w:val="heading 1"/>
    <w:basedOn w:val="Normal"/>
    <w:next w:val="Normal"/>
    <w:link w:val="Heading1Char"/>
    <w:uiPriority w:val="4"/>
    <w:qFormat/>
    <w:pPr>
      <w:keepNext/>
      <w:keepLines/>
      <w:spacing w:before="480"/>
      <w:outlineLvl w:val="0"/>
    </w:pPr>
    <w:rPr>
      <w:rFonts w:asciiTheme="majorHAnsi" w:eastAsiaTheme="majorEastAsia" w:hAnsiTheme="majorHAnsi" w:cstheme="majorBidi"/>
      <w:color w:val="2683C6" w:themeColor="accent2"/>
      <w:sz w:val="30"/>
      <w:szCs w:val="30"/>
    </w:rPr>
  </w:style>
  <w:style w:type="paragraph" w:styleId="Heading2">
    <w:name w:val="heading 2"/>
    <w:basedOn w:val="Normal"/>
    <w:next w:val="Normal"/>
    <w:link w:val="Heading2Char"/>
    <w:uiPriority w:val="6"/>
    <w:semiHidden/>
    <w:qFormat/>
    <w:pPr>
      <w:keepNext/>
      <w:keepLines/>
      <w:spacing w:before="200" w:after="80"/>
      <w:outlineLvl w:val="1"/>
    </w:pPr>
    <w:rPr>
      <w:rFonts w:asciiTheme="majorHAnsi" w:eastAsiaTheme="majorEastAsia" w:hAnsiTheme="majorHAnsi" w:cstheme="majorBidi"/>
      <w:color w:val="1CADE4" w:themeColor="accent1"/>
    </w:rPr>
  </w:style>
  <w:style w:type="paragraph" w:styleId="Heading3">
    <w:name w:val="heading 3"/>
    <w:basedOn w:val="Normal"/>
    <w:next w:val="Normal"/>
    <w:link w:val="Heading3Char"/>
    <w:uiPriority w:val="9"/>
    <w:semiHidden/>
    <w:qFormat/>
    <w:pPr>
      <w:keepNext/>
      <w:keepLines/>
      <w:spacing w:before="40" w:after="0"/>
      <w:outlineLvl w:val="2"/>
    </w:pPr>
    <w:rPr>
      <w:rFonts w:asciiTheme="majorHAnsi" w:eastAsiaTheme="majorEastAsia" w:hAnsiTheme="majorHAnsi" w:cstheme="majorBidi"/>
      <w:color w:val="0D5571" w:themeColor="accent1" w:themeShade="7F"/>
      <w:szCs w:val="24"/>
    </w:rPr>
  </w:style>
  <w:style w:type="paragraph" w:styleId="Heading4">
    <w:name w:val="heading 4"/>
    <w:basedOn w:val="Normal"/>
    <w:next w:val="Normal"/>
    <w:link w:val="Heading4Char"/>
    <w:uiPriority w:val="9"/>
    <w:semiHidden/>
    <w:qFormat/>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0D55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1680"/>
      <w:contextualSpacing/>
    </w:pPr>
    <w:rPr>
      <w:rFonts w:asciiTheme="majorHAnsi" w:hAnsiTheme="majorHAnsi"/>
      <w:b/>
      <w:caps/>
      <w:color w:val="FFFFFF" w:themeColor="background1"/>
      <w:sz w:val="52"/>
    </w:rPr>
  </w:style>
  <w:style w:type="character" w:customStyle="1" w:styleId="TitleChar">
    <w:name w:val="Title Char"/>
    <w:basedOn w:val="DefaultParagraphFont"/>
    <w:link w:val="Title"/>
    <w:uiPriority w:val="10"/>
    <w:rPr>
      <w:rFonts w:asciiTheme="majorHAnsi" w:hAnsiTheme="majorHAnsi"/>
      <w:b/>
      <w:caps/>
      <w:color w:val="FFFFFF" w:themeColor="background1"/>
      <w:sz w:val="52"/>
      <w:szCs w:val="20"/>
    </w:rPr>
  </w:style>
  <w:style w:type="paragraph" w:customStyle="1" w:styleId="RowHeading">
    <w:name w:val="Row Heading"/>
    <w:basedOn w:val="Normal"/>
    <w:uiPriority w:val="5"/>
    <w:semiHidden/>
    <w:qFormat/>
    <w:rPr>
      <w:b/>
      <w:bCs/>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pPr>
      <w:spacing w:after="320"/>
      <w:ind w:right="288"/>
    </w:pPr>
    <w:rPr>
      <w:color w:val="595959" w:themeColor="text1" w:themeTint="A6"/>
    </w:rPr>
  </w:style>
  <w:style w:type="paragraph" w:customStyle="1" w:styleId="TableText">
    <w:name w:val="Table Text"/>
    <w:basedOn w:val="Normal"/>
    <w:uiPriority w:val="3"/>
    <w:semiHidden/>
    <w:qFormat/>
    <w:pPr>
      <w:spacing w:after="320"/>
    </w:pPr>
  </w:style>
  <w:style w:type="character" w:customStyle="1" w:styleId="Heading1Char">
    <w:name w:val="Heading 1 Char"/>
    <w:basedOn w:val="DefaultParagraphFont"/>
    <w:link w:val="Heading1"/>
    <w:uiPriority w:val="4"/>
    <w:rPr>
      <w:rFonts w:asciiTheme="majorHAnsi" w:eastAsiaTheme="majorEastAsia" w:hAnsiTheme="majorHAnsi" w:cstheme="majorBidi"/>
      <w:color w:val="2683C6" w:themeColor="accent2"/>
      <w:sz w:val="30"/>
      <w:szCs w:val="30"/>
    </w:rPr>
  </w:style>
  <w:style w:type="paragraph" w:styleId="ListNumber">
    <w:name w:val="List Number"/>
    <w:basedOn w:val="Normal"/>
    <w:uiPriority w:val="9"/>
    <w:semiHidden/>
    <w:qFormat/>
    <w:pPr>
      <w:numPr>
        <w:numId w:val="1"/>
      </w:numPr>
      <w:spacing w:after="200"/>
    </w:pPr>
  </w:style>
  <w:style w:type="character" w:customStyle="1" w:styleId="Heading2Char">
    <w:name w:val="Heading 2 Char"/>
    <w:basedOn w:val="DefaultParagraphFont"/>
    <w:link w:val="Heading2"/>
    <w:uiPriority w:val="6"/>
    <w:semiHidden/>
    <w:rPr>
      <w:rFonts w:asciiTheme="majorHAnsi" w:eastAsiaTheme="majorEastAsia" w:hAnsiTheme="majorHAnsi" w:cstheme="majorBidi"/>
      <w:color w:val="1CADE4" w:themeColor="accent1"/>
      <w:sz w:val="24"/>
      <w:szCs w:val="20"/>
    </w:rPr>
  </w:style>
  <w:style w:type="paragraph" w:styleId="Footer">
    <w:name w:val="footer"/>
    <w:basedOn w:val="Normal"/>
    <w:link w:val="FooterChar"/>
    <w:uiPriority w:val="99"/>
    <w:unhideWhenUsed/>
    <w:qFormat/>
    <w:pPr>
      <w:spacing w:after="0" w:line="240" w:lineRule="auto"/>
      <w:jc w:val="right"/>
    </w:pPr>
    <w:rPr>
      <w:color w:val="1CADE4" w:themeColor="accent1"/>
    </w:rPr>
  </w:style>
  <w:style w:type="character" w:customStyle="1" w:styleId="FooterChar">
    <w:name w:val="Footer Char"/>
    <w:basedOn w:val="DefaultParagraphFont"/>
    <w:link w:val="Footer"/>
    <w:uiPriority w:val="99"/>
    <w:rPr>
      <w:color w:val="1CADE4" w:themeColor="accent1"/>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Bullet">
    <w:name w:val="List Bullet"/>
    <w:basedOn w:val="Normal"/>
    <w:uiPriority w:val="10"/>
    <w:qFormat/>
    <w:pPr>
      <w:numPr>
        <w:numId w:val="3"/>
      </w:numPr>
      <w:spacing w:before="100" w:after="100" w:line="240" w:lineRule="auto"/>
      <w:contextualSpacing/>
    </w:pPr>
    <w:rPr>
      <w:szCs w:val="21"/>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4"/>
      <w:szCs w:val="20"/>
    </w:rPr>
  </w:style>
  <w:style w:type="character" w:styleId="PlaceholderText">
    <w:name w:val="Placeholder Text"/>
    <w:basedOn w:val="DefaultParagraphFont"/>
    <w:uiPriority w:val="99"/>
    <w:semiHidden/>
    <w:rPr>
      <w:color w:val="808080"/>
    </w:rPr>
  </w:style>
  <w:style w:type="paragraph" w:customStyle="1" w:styleId="Details">
    <w:name w:val="Details"/>
    <w:basedOn w:val="Normal"/>
    <w:qFormat/>
    <w:pPr>
      <w:spacing w:before="360"/>
      <w:contextualSpacing/>
    </w:pPr>
    <w:rPr>
      <w:color w:val="auto"/>
      <w:sz w:val="30"/>
    </w:rPr>
  </w:style>
  <w:style w:type="paragraph" w:styleId="NoSpacing">
    <w:name w:val="No Spacing"/>
    <w:uiPriority w:val="1"/>
    <w:qFormat/>
    <w:pPr>
      <w:spacing w:after="0" w:line="240" w:lineRule="auto"/>
    </w:pPr>
    <w:rPr>
      <w:color w:val="404040" w:themeColor="text1" w:themeTint="BF"/>
      <w:sz w:val="24"/>
      <w:szCs w:val="20"/>
    </w:rPr>
  </w:style>
  <w:style w:type="paragraph" w:styleId="ListParagraph">
    <w:name w:val="List Paragraph"/>
    <w:basedOn w:val="Normal"/>
    <w:uiPriority w:val="34"/>
    <w:qFormat/>
    <w:pPr>
      <w:spacing w:after="0" w:line="240" w:lineRule="auto"/>
      <w:ind w:left="720" w:hanging="357"/>
      <w:contextualSpacing/>
    </w:pPr>
    <w:rPr>
      <w:rFonts w:ascii="Times New Roman" w:eastAsia="Times New Roman" w:hAnsi="Times New Roman" w:cs="Times New Roman"/>
      <w:color w:val="auto"/>
      <w:szCs w:val="24"/>
      <w:lang w:eastAsia="en-GB"/>
    </w:rPr>
  </w:style>
  <w:style w:type="paragraph" w:customStyle="1" w:styleId="3Bulletedcopypink">
    <w:name w:val="3 Bulleted copy pink &gt;"/>
    <w:basedOn w:val="Normal"/>
    <w:qFormat/>
    <w:pPr>
      <w:numPr>
        <w:numId w:val="6"/>
      </w:numPr>
      <w:spacing w:line="240" w:lineRule="auto"/>
      <w:ind w:right="284"/>
    </w:pPr>
    <w:rPr>
      <w:rFonts w:ascii="Arial" w:eastAsia="MS Mincho" w:hAnsi="Arial" w:cs="Arial"/>
      <w:color w:val="auto"/>
      <w:sz w:val="20"/>
      <w:lang w:eastAsia="en-US"/>
    </w:rPr>
  </w:style>
  <w:style w:type="paragraph" w:styleId="Subtitle">
    <w:name w:val="Subtitle"/>
    <w:basedOn w:val="Normal"/>
    <w:link w:val="SubtitleChar"/>
    <w:uiPriority w:val="2"/>
    <w:qFormat/>
    <w:pPr>
      <w:numPr>
        <w:ilvl w:val="1"/>
      </w:numPr>
      <w:spacing w:before="240" w:line="240" w:lineRule="auto"/>
      <w:ind w:left="1440" w:right="1440"/>
      <w:contextualSpacing/>
    </w:pPr>
    <w:rPr>
      <w:color w:val="FFFFFF" w:themeColor="background1"/>
      <w:spacing w:val="15"/>
      <w:sz w:val="52"/>
      <w:lang w:eastAsia="en-US"/>
    </w:rPr>
  </w:style>
  <w:style w:type="character" w:customStyle="1" w:styleId="SubtitleChar">
    <w:name w:val="Subtitle Char"/>
    <w:basedOn w:val="DefaultParagraphFont"/>
    <w:link w:val="Subtitle"/>
    <w:uiPriority w:val="2"/>
    <w:rPr>
      <w:color w:val="FFFFFF" w:themeColor="background1"/>
      <w:spacing w:val="15"/>
      <w:sz w:val="52"/>
      <w:szCs w:val="20"/>
      <w:lang w:eastAsia="en-US"/>
    </w:rPr>
  </w:style>
  <w:style w:type="paragraph" w:styleId="BlockText">
    <w:name w:val="Block Text"/>
    <w:basedOn w:val="Normal"/>
    <w:uiPriority w:val="3"/>
    <w:unhideWhenUsed/>
    <w:qFormat/>
    <w:pPr>
      <w:spacing w:after="180" w:line="240" w:lineRule="auto"/>
      <w:ind w:left="1440" w:right="1440"/>
    </w:pPr>
    <w:rPr>
      <w:b/>
      <w:iCs/>
      <w:color w:val="FFFFFF" w:themeColor="background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D5571" w:themeColor="accent1" w:themeShade="7F"/>
      <w:sz w:val="24"/>
      <w:szCs w:val="20"/>
    </w:rPr>
  </w:style>
  <w:style w:type="character" w:styleId="Hyperlink">
    <w:name w:val="Hyperlink"/>
    <w:unhideWhenUsed/>
    <w:rPr>
      <w:color w:val="0000FF"/>
      <w:u w:val="single"/>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StyleHeading3">
    <w:name w:val="Style Heading 3"/>
    <w:basedOn w:val="Heading3"/>
    <w:link w:val="StyleHeading3Char"/>
    <w:uiPriority w:val="99"/>
    <w:pPr>
      <w:keepLines w:val="0"/>
      <w:spacing w:before="240" w:after="60" w:line="240" w:lineRule="auto"/>
    </w:pPr>
    <w:rPr>
      <w:rFonts w:ascii="Arial" w:eastAsia="Times New Roman" w:hAnsi="Arial" w:cs="Times New Roman"/>
      <w:b/>
      <w:bCs/>
      <w:color w:val="auto"/>
      <w:sz w:val="28"/>
      <w:szCs w:val="20"/>
      <w:lang w:val="en-GB" w:eastAsia="en-US"/>
    </w:rPr>
  </w:style>
  <w:style w:type="character" w:customStyle="1" w:styleId="StyleHeading3Char">
    <w:name w:val="Style Heading 3 Char"/>
    <w:basedOn w:val="DefaultParagraphFont"/>
    <w:link w:val="StyleHeading3"/>
    <w:uiPriority w:val="99"/>
    <w:locked/>
    <w:rPr>
      <w:rFonts w:ascii="Arial" w:eastAsia="Times New Roman" w:hAnsi="Arial" w:cs="Times New Roman"/>
      <w:b/>
      <w:bCs/>
      <w:color w:val="auto"/>
      <w:sz w:val="28"/>
      <w:szCs w:val="20"/>
      <w:lang w:val="en-GB"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D5571" w:themeColor="accent1" w:themeShade="7F"/>
      <w:sz w:val="24"/>
      <w:szCs w:val="24"/>
    </w:rPr>
  </w:style>
  <w:style w:type="character" w:styleId="Strong">
    <w:name w:val="Strong"/>
    <w:basedOn w:val="DefaultParagraphFont"/>
    <w:uiPriority w:val="22"/>
    <w:qFormat/>
    <w:rPr>
      <w:b/>
      <w:bCs/>
    </w:rPr>
  </w:style>
  <w:style w:type="paragraph" w:styleId="PlainText">
    <w:name w:val="Plain Text"/>
    <w:basedOn w:val="Normal"/>
    <w:link w:val="PlainTextChar"/>
    <w:pPr>
      <w:spacing w:after="0" w:line="240" w:lineRule="auto"/>
    </w:pPr>
    <w:rPr>
      <w:rFonts w:ascii="Courier New" w:eastAsia="Times New Roman" w:hAnsi="Courier New" w:cs="Courier New"/>
      <w:color w:val="auto"/>
      <w:sz w:val="20"/>
      <w:lang w:val="en-GB" w:eastAsia="en-US"/>
    </w:rPr>
  </w:style>
  <w:style w:type="character" w:customStyle="1" w:styleId="PlainTextChar">
    <w:name w:val="Plain Text Char"/>
    <w:basedOn w:val="DefaultParagraphFont"/>
    <w:link w:val="PlainText"/>
    <w:rPr>
      <w:rFonts w:ascii="Courier New" w:eastAsia="Times New Roman" w:hAnsi="Courier New" w:cs="Courier New"/>
      <w:color w:val="auto"/>
      <w:sz w:val="20"/>
      <w:szCs w:val="20"/>
      <w:lang w:val="en-GB" w:eastAsia="en-US"/>
    </w:rPr>
  </w:style>
  <w:style w:type="character" w:styleId="IntenseEmphasis">
    <w:name w:val="Intense Emphasis"/>
    <w:basedOn w:val="DefaultParagraphFont"/>
    <w:uiPriority w:val="21"/>
    <w:qFormat/>
    <w:rPr>
      <w:b/>
      <w:bCs/>
      <w:i/>
      <w:iCs/>
      <w:color w:val="1CADE4" w:themeColor="accent1"/>
    </w:rPr>
  </w:style>
  <w:style w:type="paragraph" w:styleId="BodyText">
    <w:name w:val="Body Text"/>
    <w:basedOn w:val="Normal"/>
    <w:link w:val="BodyTextChar"/>
    <w:uiPriority w:val="99"/>
    <w:pPr>
      <w:spacing w:line="240" w:lineRule="auto"/>
    </w:pPr>
    <w:rPr>
      <w:rFonts w:ascii="Times New Roman" w:eastAsia="Times New Roman" w:hAnsi="Times New Roman" w:cs="Times New Roman"/>
      <w:color w:val="auto"/>
      <w:szCs w:val="24"/>
      <w:lang w:val="en-GB" w:eastAsia="en-GB"/>
    </w:rPr>
  </w:style>
  <w:style w:type="character" w:customStyle="1" w:styleId="BodyTextChar">
    <w:name w:val="Body Text Char"/>
    <w:basedOn w:val="DefaultParagraphFont"/>
    <w:link w:val="BodyText"/>
    <w:uiPriority w:val="99"/>
    <w:rPr>
      <w:rFonts w:ascii="Times New Roman" w:eastAsia="Times New Roman" w:hAnsi="Times New Roman" w:cs="Times New Roman"/>
      <w:color w:val="auto"/>
      <w:sz w:val="24"/>
      <w:szCs w:val="24"/>
      <w:lang w:val="en-GB"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481AB" w:themeColor="accent1" w:themeShade="B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641490">
      <w:bodyDiv w:val="1"/>
      <w:marLeft w:val="0"/>
      <w:marRight w:val="0"/>
      <w:marTop w:val="0"/>
      <w:marBottom w:val="0"/>
      <w:divBdr>
        <w:top w:val="none" w:sz="0" w:space="0" w:color="auto"/>
        <w:left w:val="none" w:sz="0" w:space="0" w:color="auto"/>
        <w:bottom w:val="none" w:sz="0" w:space="0" w:color="auto"/>
        <w:right w:val="none" w:sz="0" w:space="0" w:color="auto"/>
      </w:divBdr>
    </w:div>
    <w:div w:id="618101441">
      <w:bodyDiv w:val="1"/>
      <w:marLeft w:val="0"/>
      <w:marRight w:val="0"/>
      <w:marTop w:val="0"/>
      <w:marBottom w:val="0"/>
      <w:divBdr>
        <w:top w:val="none" w:sz="0" w:space="0" w:color="auto"/>
        <w:left w:val="none" w:sz="0" w:space="0" w:color="auto"/>
        <w:bottom w:val="none" w:sz="0" w:space="0" w:color="auto"/>
        <w:right w:val="none" w:sz="0" w:space="0" w:color="auto"/>
      </w:divBdr>
    </w:div>
    <w:div w:id="802314920">
      <w:bodyDiv w:val="1"/>
      <w:marLeft w:val="0"/>
      <w:marRight w:val="0"/>
      <w:marTop w:val="0"/>
      <w:marBottom w:val="0"/>
      <w:divBdr>
        <w:top w:val="none" w:sz="0" w:space="0" w:color="auto"/>
        <w:left w:val="none" w:sz="0" w:space="0" w:color="auto"/>
        <w:bottom w:val="none" w:sz="0" w:space="0" w:color="auto"/>
        <w:right w:val="none" w:sz="0" w:space="0" w:color="auto"/>
      </w:divBdr>
    </w:div>
    <w:div w:id="866988152">
      <w:bodyDiv w:val="1"/>
      <w:marLeft w:val="0"/>
      <w:marRight w:val="0"/>
      <w:marTop w:val="0"/>
      <w:marBottom w:val="0"/>
      <w:divBdr>
        <w:top w:val="none" w:sz="0" w:space="0" w:color="auto"/>
        <w:left w:val="none" w:sz="0" w:space="0" w:color="auto"/>
        <w:bottom w:val="none" w:sz="0" w:space="0" w:color="auto"/>
        <w:right w:val="none" w:sz="0" w:space="0" w:color="auto"/>
      </w:divBdr>
    </w:div>
    <w:div w:id="939338600">
      <w:bodyDiv w:val="1"/>
      <w:marLeft w:val="0"/>
      <w:marRight w:val="0"/>
      <w:marTop w:val="0"/>
      <w:marBottom w:val="0"/>
      <w:divBdr>
        <w:top w:val="none" w:sz="0" w:space="0" w:color="auto"/>
        <w:left w:val="none" w:sz="0" w:space="0" w:color="auto"/>
        <w:bottom w:val="none" w:sz="0" w:space="0" w:color="auto"/>
        <w:right w:val="none" w:sz="0" w:space="0" w:color="auto"/>
      </w:divBdr>
    </w:div>
    <w:div w:id="1086415607">
      <w:bodyDiv w:val="1"/>
      <w:marLeft w:val="0"/>
      <w:marRight w:val="0"/>
      <w:marTop w:val="0"/>
      <w:marBottom w:val="0"/>
      <w:divBdr>
        <w:top w:val="none" w:sz="0" w:space="0" w:color="auto"/>
        <w:left w:val="none" w:sz="0" w:space="0" w:color="auto"/>
        <w:bottom w:val="none" w:sz="0" w:space="0" w:color="auto"/>
        <w:right w:val="none" w:sz="0" w:space="0" w:color="auto"/>
      </w:divBdr>
    </w:div>
    <w:div w:id="1448694931">
      <w:bodyDiv w:val="1"/>
      <w:marLeft w:val="0"/>
      <w:marRight w:val="0"/>
      <w:marTop w:val="0"/>
      <w:marBottom w:val="0"/>
      <w:divBdr>
        <w:top w:val="none" w:sz="0" w:space="0" w:color="auto"/>
        <w:left w:val="none" w:sz="0" w:space="0" w:color="auto"/>
        <w:bottom w:val="none" w:sz="0" w:space="0" w:color="auto"/>
        <w:right w:val="none" w:sz="0" w:space="0" w:color="auto"/>
      </w:divBdr>
    </w:div>
    <w:div w:id="1842545381">
      <w:bodyDiv w:val="1"/>
      <w:marLeft w:val="0"/>
      <w:marRight w:val="0"/>
      <w:marTop w:val="0"/>
      <w:marBottom w:val="0"/>
      <w:divBdr>
        <w:top w:val="none" w:sz="0" w:space="0" w:color="auto"/>
        <w:left w:val="none" w:sz="0" w:space="0" w:color="auto"/>
        <w:bottom w:val="none" w:sz="0" w:space="0" w:color="auto"/>
        <w:right w:val="none" w:sz="0" w:space="0" w:color="auto"/>
      </w:divBdr>
    </w:div>
    <w:div w:id="194514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mailto:recruitment@st-maryshigh.lancs.sch.uk" TargetMode="External"/><Relationship Id="rId17" Type="http://schemas.openxmlformats.org/officeDocument/2006/relationships/hyperlink" Target="https://www.education.gov.uk/publications/standard/publicationDetail/Page1/DFE-00066-2011" TargetMode="External"/><Relationship Id="rId2" Type="http://schemas.openxmlformats.org/officeDocument/2006/relationships/customXml" Target="../customXml/item2.xml"/><Relationship Id="rId16" Type="http://schemas.openxmlformats.org/officeDocument/2006/relationships/hyperlink" Target="https://www.education.gov.uk/publication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maryshigh.lancs.sch.uk" TargetMode="External"/><Relationship Id="rId24" Type="http://schemas.openxmlformats.org/officeDocument/2006/relationships/theme" Target="theme/theme1.xml"/><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dien\AppData\Roaming\Microsoft\Templates\Education%20minutes.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3AFB461-0670-44F6-A0E0-FEEB7D8A6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12675-D78A-439E-8491-64F8D6298806}">
  <ds:schemaRefs>
    <ds:schemaRef ds:uri="http://schemas.microsoft.com/sharepoint/v3/contenttype/forms"/>
  </ds:schemaRefs>
</ds:datastoreItem>
</file>

<file path=customXml/itemProps3.xml><?xml version="1.0" encoding="utf-8"?>
<ds:datastoreItem xmlns:ds="http://schemas.openxmlformats.org/officeDocument/2006/customXml" ds:itemID="{9727B9BB-1AEF-4951-BFBA-F9133C80F3EA}">
  <ds:schemaRefs>
    <ds:schemaRef ds:uri="http://purl.org/dc/dcmitype/"/>
    <ds:schemaRef ds:uri="http://purl.org/dc/terms/"/>
    <ds:schemaRef ds:uri="http://schemas.microsoft.com/office/2006/documentManagement/types"/>
    <ds:schemaRef ds:uri="http://www.w3.org/XML/1998/namespace"/>
    <ds:schemaRef ds:uri="fb0879af-3eba-417a-a55a-ffe6dcd6ca77"/>
    <ds:schemaRef ds:uri="6dc4bcd6-49db-4c07-9060-8acfc67cef9f"/>
    <ds:schemaRef ds:uri="http://schemas.microsoft.com/office/infopath/2007/PartnerControls"/>
    <ds:schemaRef ds:uri="http://purl.org/dc/elements/1.1/"/>
    <ds:schemaRef ds:uri="http://schemas.openxmlformats.org/package/2006/metadata/core-properties"/>
    <ds:schemaRef ds:uri="http://schemas.microsoft.com/sharepoint/v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Education minutes</Template>
  <TotalTime>104</TotalTime>
  <Pages>11</Pages>
  <Words>3536</Words>
  <Characters>20158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oddien</dc:creator>
  <cp:keywords/>
  <dc:description/>
  <cp:lastModifiedBy>Oddie, Nicola</cp:lastModifiedBy>
  <cp:revision>22</cp:revision>
  <cp:lastPrinted>2020-03-16T22:21:00Z</cp:lastPrinted>
  <dcterms:created xsi:type="dcterms:W3CDTF">2021-03-18T14:00:00Z</dcterms:created>
  <dcterms:modified xsi:type="dcterms:W3CDTF">2022-11-11T10:23:00Z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