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17" w:rsidRDefault="006C3339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LOSTOCK HALL COMMUNITY PRIMARY SCHOOL</w:t>
      </w:r>
    </w:p>
    <w:p w:rsidR="003F2117" w:rsidRDefault="006C3339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Main Scale Teacher</w:t>
      </w:r>
    </w:p>
    <w:p w:rsidR="003F2117" w:rsidRDefault="006C3339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Job Description</w:t>
      </w:r>
    </w:p>
    <w:p w:rsidR="003F2117" w:rsidRDefault="006C3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appointment is subject to the current conditions of employment of teachers contained in the School Teachers’ Pay and Conditions Document, the Education Act, the required </w:t>
      </w:r>
      <w:r>
        <w:rPr>
          <w:rFonts w:ascii="Arial" w:hAnsi="Arial" w:cs="Arial"/>
          <w:sz w:val="24"/>
          <w:szCs w:val="24"/>
        </w:rPr>
        <w:t>standards for Qualified Teacher status, other current educational legislation and the school’s articles of government.</w:t>
      </w:r>
    </w:p>
    <w:p w:rsidR="003F2117" w:rsidRDefault="006C3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job description may be amended at any time following discussion between the </w:t>
      </w:r>
      <w:proofErr w:type="spellStart"/>
      <w:r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 xml:space="preserve"> and member of staff, and will be reviewed an</w:t>
      </w:r>
      <w:r>
        <w:rPr>
          <w:rFonts w:ascii="Arial" w:hAnsi="Arial" w:cs="Arial"/>
          <w:sz w:val="24"/>
          <w:szCs w:val="24"/>
        </w:rPr>
        <w:t>nually.</w:t>
      </w:r>
    </w:p>
    <w:p w:rsidR="003F2117" w:rsidRDefault="006C33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 positive relationships with pupils and staff to assist pupil progress and attainment.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promotion of positive relationships with parents and outside agencies.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effective communication arrangements.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awar</w:t>
      </w:r>
      <w:r>
        <w:rPr>
          <w:rFonts w:ascii="Arial" w:hAnsi="Arial" w:cs="Arial"/>
          <w:sz w:val="24"/>
          <w:szCs w:val="24"/>
        </w:rPr>
        <w:t>e of the confidential nature of issues related to home/pupil/teacher/school work.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contribute/lead meetings, on an individual basis, with parents to provide feedback on pupil progress/achievement.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prepare and present informative reports to parents.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support the provision of out of school learning activities within guidelines established by the school.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care of own and other people’s health and safety.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contribute to the cooperate life of the school through effective participation in meetings</w:t>
      </w:r>
      <w:r>
        <w:rPr>
          <w:rFonts w:ascii="Arial" w:hAnsi="Arial" w:cs="Arial"/>
          <w:sz w:val="24"/>
          <w:szCs w:val="24"/>
        </w:rPr>
        <w:t xml:space="preserve"> and management systems necessary to coordinate the arrangement of the school.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responsibility for their own professional development and duties in relation to school policies and practices.</w:t>
      </w:r>
    </w:p>
    <w:p w:rsidR="003F2117" w:rsidRDefault="006C33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operate at all times within the stated policies and pra</w:t>
      </w:r>
      <w:r>
        <w:rPr>
          <w:rFonts w:ascii="Arial" w:hAnsi="Arial" w:cs="Arial"/>
          <w:sz w:val="24"/>
          <w:szCs w:val="24"/>
        </w:rPr>
        <w:t>ctices of the school.</w:t>
      </w:r>
    </w:p>
    <w:p w:rsidR="003F2117" w:rsidRDefault="006C33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and Learning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</w:rPr>
        <w:t>organise</w:t>
      </w:r>
      <w:proofErr w:type="spellEnd"/>
      <w:r>
        <w:rPr>
          <w:rFonts w:ascii="Arial" w:hAnsi="Arial" w:cs="Arial"/>
          <w:sz w:val="24"/>
          <w:szCs w:val="24"/>
        </w:rPr>
        <w:t xml:space="preserve"> and manage a purposeful, orderly and supportive environment for learning.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assess the needs of pupils and to differentiate curriculum content to support pupils’ learning.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identify clear teaching </w:t>
      </w:r>
      <w:r>
        <w:rPr>
          <w:rFonts w:ascii="Arial" w:hAnsi="Arial" w:cs="Arial"/>
          <w:sz w:val="24"/>
          <w:szCs w:val="24"/>
        </w:rPr>
        <w:t>objectives, building on prior attainment, specifying how they will be taught and assessed.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select and prepare resources necessary to lead learning activities, taking account of pupils’ interests and language and cultural backgrounds.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appropriate</w:t>
      </w:r>
      <w:r>
        <w:rPr>
          <w:rFonts w:ascii="Arial" w:hAnsi="Arial" w:cs="Arial"/>
          <w:sz w:val="24"/>
          <w:szCs w:val="24"/>
        </w:rPr>
        <w:t xml:space="preserve"> and demanding expectations.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Monitoring and evaluating pupil response to learning activities.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responsibility for implanting agreed systems for pupil supervision and the management of pupil behavior.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identify SEN or very able pupils, implementing</w:t>
      </w:r>
      <w:r>
        <w:rPr>
          <w:rFonts w:ascii="Arial" w:hAnsi="Arial" w:cs="Arial"/>
          <w:sz w:val="24"/>
          <w:szCs w:val="24"/>
        </w:rPr>
        <w:t xml:space="preserve"> and monitoring IEPs.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pupils as part of a planned inclusion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2117" w:rsidRDefault="006C33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use of ICT in learning activities.</w:t>
      </w:r>
    </w:p>
    <w:p w:rsidR="003F2117" w:rsidRDefault="003F2117">
      <w:pPr>
        <w:jc w:val="both"/>
        <w:rPr>
          <w:rFonts w:ascii="Arial" w:hAnsi="Arial" w:cs="Arial"/>
          <w:b/>
          <w:sz w:val="24"/>
          <w:szCs w:val="24"/>
        </w:rPr>
      </w:pPr>
    </w:p>
    <w:p w:rsidR="003F2117" w:rsidRDefault="006C33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Performance Management</w:t>
      </w:r>
    </w:p>
    <w:p w:rsidR="003F2117" w:rsidRDefault="006C3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subject to Performance Management regulations unless an NQT.</w:t>
      </w:r>
    </w:p>
    <w:p w:rsidR="003F2117" w:rsidRDefault="003F2117">
      <w:pPr>
        <w:jc w:val="both"/>
        <w:rPr>
          <w:rFonts w:ascii="Arial" w:hAnsi="Arial" w:cs="Arial"/>
          <w:b/>
          <w:sz w:val="24"/>
          <w:szCs w:val="24"/>
        </w:rPr>
      </w:pPr>
    </w:p>
    <w:p w:rsidR="003F2117" w:rsidRDefault="006C33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and Safety</w:t>
      </w:r>
    </w:p>
    <w:p w:rsidR="003F2117" w:rsidRDefault="006C3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</w:t>
      </w:r>
      <w:r>
        <w:rPr>
          <w:rFonts w:ascii="Arial" w:hAnsi="Arial" w:cs="Arial"/>
          <w:sz w:val="24"/>
          <w:szCs w:val="24"/>
        </w:rPr>
        <w:t>familiar with the school’s Health and Safety Policy and to immediately report any concerns to the appropriate person.</w:t>
      </w:r>
    </w:p>
    <w:p w:rsidR="003F2117" w:rsidRDefault="003F2117">
      <w:pPr>
        <w:jc w:val="both"/>
        <w:rPr>
          <w:rFonts w:ascii="Arial" w:hAnsi="Arial" w:cs="Arial"/>
          <w:b/>
          <w:sz w:val="24"/>
          <w:szCs w:val="24"/>
        </w:rPr>
      </w:pPr>
    </w:p>
    <w:p w:rsidR="003F2117" w:rsidRDefault="006C33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Subject Leader</w:t>
      </w:r>
    </w:p>
    <w:p w:rsidR="003F2117" w:rsidRDefault="006C3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mentored into the role of Subject Leader if NQT Status. Otherwise full subject leader responsibility will apply. A</w:t>
      </w:r>
      <w:r>
        <w:rPr>
          <w:rFonts w:ascii="Arial" w:hAnsi="Arial" w:cs="Arial"/>
          <w:sz w:val="24"/>
          <w:szCs w:val="24"/>
        </w:rPr>
        <w:t>rea to be decided.</w:t>
      </w:r>
    </w:p>
    <w:p w:rsidR="003F2117" w:rsidRDefault="003F2117">
      <w:pPr>
        <w:jc w:val="both"/>
        <w:rPr>
          <w:rFonts w:ascii="Arial" w:hAnsi="Arial" w:cs="Arial"/>
          <w:sz w:val="24"/>
          <w:szCs w:val="24"/>
        </w:rPr>
      </w:pPr>
    </w:p>
    <w:p w:rsidR="003F2117" w:rsidRDefault="006C3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F2117" w:rsidRDefault="003F2117">
      <w:pPr>
        <w:jc w:val="both"/>
        <w:rPr>
          <w:rFonts w:ascii="Arial" w:hAnsi="Arial" w:cs="Arial"/>
          <w:sz w:val="24"/>
          <w:szCs w:val="24"/>
        </w:rPr>
      </w:pPr>
    </w:p>
    <w:p w:rsidR="003F2117" w:rsidRDefault="006C3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Class Teacher)</w:t>
      </w:r>
    </w:p>
    <w:p w:rsidR="003F2117" w:rsidRDefault="003F2117">
      <w:pPr>
        <w:jc w:val="both"/>
        <w:rPr>
          <w:rFonts w:ascii="Arial" w:hAnsi="Arial" w:cs="Arial"/>
          <w:sz w:val="24"/>
          <w:szCs w:val="24"/>
        </w:rPr>
      </w:pPr>
    </w:p>
    <w:p w:rsidR="003F2117" w:rsidRDefault="006C3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Date________________________________</w:t>
      </w:r>
    </w:p>
    <w:p w:rsidR="003F2117" w:rsidRDefault="003F2117">
      <w:pPr>
        <w:rPr>
          <w:rFonts w:ascii="Arial" w:hAnsi="Arial" w:cs="Arial"/>
          <w:sz w:val="24"/>
          <w:szCs w:val="24"/>
        </w:rPr>
      </w:pPr>
    </w:p>
    <w:p w:rsidR="003F2117" w:rsidRDefault="003F2117">
      <w:pPr>
        <w:rPr>
          <w:rFonts w:ascii="Arial" w:hAnsi="Arial" w:cs="Arial"/>
          <w:sz w:val="24"/>
          <w:szCs w:val="24"/>
        </w:rPr>
      </w:pPr>
    </w:p>
    <w:p w:rsidR="003F2117" w:rsidRDefault="003F2117">
      <w:pPr>
        <w:rPr>
          <w:rFonts w:ascii="Arial" w:hAnsi="Arial" w:cs="Arial"/>
          <w:sz w:val="24"/>
          <w:szCs w:val="24"/>
        </w:rPr>
      </w:pPr>
    </w:p>
    <w:p w:rsidR="003F2117" w:rsidRDefault="003F2117">
      <w:pPr>
        <w:rPr>
          <w:rFonts w:ascii="Arial" w:hAnsi="Arial" w:cs="Arial"/>
          <w:sz w:val="24"/>
          <w:szCs w:val="24"/>
        </w:rPr>
      </w:pPr>
    </w:p>
    <w:p w:rsidR="003F2117" w:rsidRDefault="006C3339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LOSTOCK HALL COMMUNITY PRIMARY SCHOOL</w:t>
      </w:r>
    </w:p>
    <w:p w:rsidR="003F2117" w:rsidRDefault="006C3339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Main Scale Teacher Post</w:t>
      </w:r>
    </w:p>
    <w:p w:rsidR="003F2117" w:rsidRDefault="006C3339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Person Specification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3402"/>
      </w:tblGrid>
      <w:tr w:rsidR="003F2117">
        <w:tc>
          <w:tcPr>
            <w:tcW w:w="3120" w:type="dxa"/>
          </w:tcPr>
          <w:p w:rsidR="003F2117" w:rsidRDefault="006C33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969" w:type="dxa"/>
          </w:tcPr>
          <w:p w:rsidR="003F2117" w:rsidRDefault="006C3339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3F2117" w:rsidRDefault="006C33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F2117">
        <w:tc>
          <w:tcPr>
            <w:tcW w:w="3120" w:type="dxa"/>
          </w:tcPr>
          <w:p w:rsidR="003F2117" w:rsidRDefault="006C33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</w:p>
        </w:tc>
        <w:tc>
          <w:tcPr>
            <w:tcW w:w="3969" w:type="dxa"/>
          </w:tcPr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Fully completed application form.</w:t>
            </w:r>
          </w:p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supporting letter.</w:t>
            </w:r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117" w:rsidRDefault="003F21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117">
        <w:tc>
          <w:tcPr>
            <w:tcW w:w="3120" w:type="dxa"/>
          </w:tcPr>
          <w:p w:rsidR="003F2117" w:rsidRDefault="006C33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3969" w:type="dxa"/>
          </w:tcPr>
          <w:p w:rsidR="003F2117" w:rsidRDefault="006C3339">
            <w:pPr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QTS status</w:t>
            </w:r>
          </w:p>
          <w:p w:rsidR="003F2117" w:rsidRDefault="003F2117">
            <w:pPr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117" w:rsidRDefault="003F21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117">
        <w:tc>
          <w:tcPr>
            <w:tcW w:w="3120" w:type="dxa"/>
          </w:tcPr>
          <w:p w:rsidR="003F2117" w:rsidRDefault="006C3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experience/</w:t>
            </w:r>
          </w:p>
          <w:p w:rsidR="003F2117" w:rsidRDefault="006C3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attributes</w:t>
            </w:r>
          </w:p>
        </w:tc>
        <w:tc>
          <w:tcPr>
            <w:tcW w:w="3969" w:type="dxa"/>
          </w:tcPr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 a Primary Setting.</w:t>
            </w:r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ability to work as part of a team.</w:t>
            </w:r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deploy and lead support staff effectively.</w:t>
            </w:r>
          </w:p>
          <w:p w:rsidR="006C3339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6C3339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EYFS</w:t>
            </w:r>
            <w:bookmarkStart w:id="0" w:name="_GoBack"/>
            <w:bookmarkEnd w:id="0"/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117" w:rsidRDefault="006C333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be able to work independently and make appropriate decisions.</w:t>
            </w:r>
          </w:p>
        </w:tc>
      </w:tr>
      <w:tr w:rsidR="003F2117">
        <w:tc>
          <w:tcPr>
            <w:tcW w:w="3120" w:type="dxa"/>
          </w:tcPr>
          <w:p w:rsidR="003F2117" w:rsidRDefault="006C33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Knowledge</w:t>
            </w:r>
          </w:p>
        </w:tc>
        <w:tc>
          <w:tcPr>
            <w:tcW w:w="3969" w:type="dxa"/>
          </w:tcPr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Primary curriculum.</w:t>
            </w:r>
          </w:p>
        </w:tc>
        <w:tc>
          <w:tcPr>
            <w:tcW w:w="3402" w:type="dxa"/>
          </w:tcPr>
          <w:p w:rsidR="003F2117" w:rsidRDefault="006C333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appropriate Health and</w:t>
            </w:r>
            <w:r>
              <w:rPr>
                <w:rFonts w:ascii="Arial" w:hAnsi="Arial" w:cs="Arial"/>
                <w:sz w:val="24"/>
                <w:szCs w:val="24"/>
              </w:rPr>
              <w:t xml:space="preserve"> Safety issues related to primary age children.</w:t>
            </w:r>
          </w:p>
        </w:tc>
      </w:tr>
      <w:tr w:rsidR="003F2117">
        <w:tc>
          <w:tcPr>
            <w:tcW w:w="3120" w:type="dxa"/>
          </w:tcPr>
          <w:p w:rsidR="003F2117" w:rsidRDefault="006C33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Skills</w:t>
            </w:r>
          </w:p>
        </w:tc>
        <w:tc>
          <w:tcPr>
            <w:tcW w:w="3969" w:type="dxa"/>
          </w:tcPr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standard of classroom management.</w:t>
            </w:r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manage a creative, purposeful and supportive learning environment.</w:t>
            </w:r>
          </w:p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establish effective relationships with parents/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117" w:rsidRDefault="006C333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</w:t>
            </w:r>
            <w:r>
              <w:rPr>
                <w:rFonts w:ascii="Arial" w:hAnsi="Arial" w:cs="Arial"/>
                <w:sz w:val="24"/>
                <w:szCs w:val="24"/>
              </w:rPr>
              <w:t>to demonstrate accountability, for example – reporting to parents, parent interviews, agency liaison.</w:t>
            </w:r>
          </w:p>
        </w:tc>
      </w:tr>
      <w:tr w:rsidR="003F2117">
        <w:tc>
          <w:tcPr>
            <w:tcW w:w="3120" w:type="dxa"/>
          </w:tcPr>
          <w:p w:rsidR="003F2117" w:rsidRDefault="006C33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  <w:tc>
          <w:tcPr>
            <w:tcW w:w="3969" w:type="dxa"/>
          </w:tcPr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attendance record.</w:t>
            </w:r>
          </w:p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DBS clearance.</w:t>
            </w:r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contribute to the overall life of the school.</w:t>
            </w:r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117" w:rsidRDefault="003F2117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117">
        <w:tc>
          <w:tcPr>
            <w:tcW w:w="3120" w:type="dxa"/>
          </w:tcPr>
          <w:p w:rsidR="003F2117" w:rsidRDefault="006C33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Safeguarding</w:t>
            </w:r>
          </w:p>
        </w:tc>
        <w:tc>
          <w:tcPr>
            <w:tcW w:w="3969" w:type="dxa"/>
          </w:tcPr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Child </w:t>
            </w:r>
            <w:r>
              <w:rPr>
                <w:rFonts w:ascii="Arial" w:hAnsi="Arial" w:cs="Arial"/>
                <w:sz w:val="24"/>
                <w:szCs w:val="24"/>
              </w:rPr>
              <w:t>Protection procedures.</w:t>
            </w:r>
          </w:p>
          <w:p w:rsidR="003F2117" w:rsidRDefault="003F2117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3F2117" w:rsidRDefault="006C3339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working within a Child Protection Culture.</w:t>
            </w:r>
          </w:p>
        </w:tc>
        <w:tc>
          <w:tcPr>
            <w:tcW w:w="3402" w:type="dxa"/>
          </w:tcPr>
          <w:p w:rsidR="003F2117" w:rsidRDefault="003F2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117" w:rsidRDefault="003F2117"/>
    <w:sectPr w:rsidR="003F2117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570"/>
    <w:multiLevelType w:val="hybridMultilevel"/>
    <w:tmpl w:val="ECB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527F"/>
    <w:multiLevelType w:val="hybridMultilevel"/>
    <w:tmpl w:val="240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2B8F"/>
    <w:multiLevelType w:val="hybridMultilevel"/>
    <w:tmpl w:val="8F86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2B9A"/>
    <w:multiLevelType w:val="hybridMultilevel"/>
    <w:tmpl w:val="01E2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5F62"/>
    <w:multiLevelType w:val="hybridMultilevel"/>
    <w:tmpl w:val="EB96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A140F"/>
    <w:multiLevelType w:val="hybridMultilevel"/>
    <w:tmpl w:val="6870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1FCB"/>
    <w:multiLevelType w:val="hybridMultilevel"/>
    <w:tmpl w:val="B6661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E7610D"/>
    <w:multiLevelType w:val="hybridMultilevel"/>
    <w:tmpl w:val="3C9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A0E2F"/>
    <w:multiLevelType w:val="hybridMultilevel"/>
    <w:tmpl w:val="F00C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2117"/>
    <w:rsid w:val="003F2117"/>
    <w:rsid w:val="006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EE15"/>
  <w15:docId w15:val="{6C1533DF-9AE4-4092-BD9C-DAA50765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Claire Allen</cp:lastModifiedBy>
  <cp:revision>7</cp:revision>
  <cp:lastPrinted>2014-01-21T10:57:00Z</cp:lastPrinted>
  <dcterms:created xsi:type="dcterms:W3CDTF">2014-01-20T11:38:00Z</dcterms:created>
  <dcterms:modified xsi:type="dcterms:W3CDTF">2021-05-14T10:07:00Z</dcterms:modified>
</cp:coreProperties>
</file>