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02A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D02A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DA343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0D02AB">
        <w:t>Our Lady's Catholic High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1DA9AAF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0D02AB">
        <w:t>Diocese of Lancaster, Lancashire County Council and governors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A01D433"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0D02AB">
        <w:t xml:space="preserve">Geoff Diggles </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0D02AB">
        <w:t>gdi@olchs.lancs.sch.uk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21BB2B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0D02AB">
        <w:t>following the complaints procedure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 / Welsh]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0D02AB"/>
    <w:rsid w:val="000D185E"/>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420E2-F5BE-4196-B5A1-8B55B8709217}">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bc4d8b03-4e62-4820-8f1e-8615b11f99ba"/>
    <ds:schemaRef ds:uri="http://www.w3.org/XML/1998/namespace"/>
    <ds:schemaRef ds:uri="http://purl.org/dc/terms/"/>
    <ds:schemaRef ds:uri="http://schemas.microsoft.com/office/infopath/2007/PartnerControls"/>
    <ds:schemaRef ds:uri="9874caef-fd84-4b11-afb6-9e754267c132"/>
    <ds:schemaRef ds:uri="c6cf15d9-ea7a-4ab6-9ea2-d896e2db9c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Bilsborrow</cp:lastModifiedBy>
  <cp:revision>3</cp:revision>
  <cp:lastPrinted>2019-03-28T16:35:00Z</cp:lastPrinted>
  <dcterms:created xsi:type="dcterms:W3CDTF">2020-10-15T16:09:00Z</dcterms:created>
  <dcterms:modified xsi:type="dcterms:W3CDTF">2020-10-19T15:20:00Z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