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right"/>
        <w:outlineLvl w:val="2"/>
        <w:rPr>
          <w:b/>
          <w:sz w:val="32"/>
          <w:szCs w:val="32"/>
          <w:lang w:val="en"/>
        </w:rPr>
      </w:pPr>
      <w:bookmarkStart w:id="0" w:name="_GoBack"/>
      <w:bookmarkEnd w:id="0"/>
      <w:r>
        <w:rPr>
          <w:lang w:eastAsia="en-GB"/>
        </w:rPr>
        <w:drawing>
          <wp:inline distT="0" distB="0" distL="0" distR="0">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247900" cy="1143000"/>
                    </a:xfrm>
                    <a:prstGeom prst="rect">
                      <a:avLst/>
                    </a:prstGeom>
                  </pic:spPr>
                </pic:pic>
              </a:graphicData>
            </a:graphic>
          </wp:inline>
        </w:drawing>
      </w:r>
    </w:p>
    <w:p>
      <w:pPr>
        <w:spacing w:before="100" w:beforeAutospacing="1" w:after="100" w:afterAutospacing="1" w:line="240" w:lineRule="auto"/>
        <w:outlineLvl w:val="2"/>
        <w:rPr>
          <w:rFonts w:ascii="Arial" w:hAnsi="Arial" w:eastAsia="Times New Roman" w:cs="Arial"/>
          <w:b/>
          <w:bCs/>
          <w:sz w:val="32"/>
          <w:szCs w:val="32"/>
          <w:lang w:val="en" w:eastAsia="en-GB"/>
        </w:rPr>
      </w:pPr>
      <w:r>
        <w:rPr>
          <w:b/>
          <w:sz w:val="32"/>
          <w:szCs w:val="32"/>
          <w:lang w:val="en"/>
        </w:rPr>
        <w:t xml:space="preserve">Handling of DBS certificate information Policy </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General principles</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As an organisation using the Disclosure and Barring Service (DBS) checking service to help assess the suitability of applicants for positions of trust, Lancashire County Council complies fully with the code of practice regarding the correct handling, use, storage, retention and disposal of certificates and certificate information.</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Storage and access</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Certificate information should be kept securely, in lockable, non-portable, storage containers with access strictly controlled and limited to those who are entitled to see it as part of their duties.</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Handling</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Once the inspection has taken place the certificate should be destroyed in accordance with the </w:t>
      </w:r>
      <w:r>
        <w:fldChar w:fldCharType="begin"/>
      </w:r>
      <w:r>
        <w:instrText xml:space="preserve"> HYPERLINK "https://www.gov.uk/government/publications/dbs-code-of-practice" </w:instrText>
      </w:r>
      <w:r>
        <w:fldChar w:fldCharType="separate"/>
      </w:r>
      <w:r>
        <w:rPr>
          <w:rFonts w:ascii="Arial" w:hAnsi="Arial" w:eastAsia="Times New Roman" w:cs="Arial"/>
          <w:color w:val="0000FF"/>
          <w:sz w:val="24"/>
          <w:szCs w:val="24"/>
          <w:u w:val="single"/>
          <w:lang w:val="en" w:eastAsia="en-GB"/>
        </w:rPr>
        <w:t>code of practice</w:t>
      </w:r>
      <w:r>
        <w:rPr>
          <w:rFonts w:ascii="Arial" w:hAnsi="Arial" w:eastAsia="Times New Roman" w:cs="Arial"/>
          <w:color w:val="0000FF"/>
          <w:sz w:val="24"/>
          <w:szCs w:val="24"/>
          <w:u w:val="single"/>
          <w:lang w:val="en" w:eastAsia="en-GB"/>
        </w:rPr>
        <w:fldChar w:fldCharType="end"/>
      </w:r>
      <w:r>
        <w:rPr>
          <w:rFonts w:ascii="Arial" w:hAnsi="Arial" w:eastAsia="Times New Roman" w:cs="Arial"/>
          <w:sz w:val="24"/>
          <w:szCs w:val="24"/>
          <w:lang w:val="en" w:eastAsia="en-GB"/>
        </w:rPr>
        <w:t>.</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Usage</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Certificate information is only used for the specific purpose for which it was requested and for which the applicant’s full consent has been given.</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Retention</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Throughout this time, the usual conditions regarding the safe storage and strictly controlled access will prevail.</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Disposal</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pPr>
        <w:spacing w:before="100" w:beforeAutospacing="1" w:after="100" w:afterAutospacing="1" w:line="240" w:lineRule="auto"/>
        <w:outlineLvl w:val="2"/>
        <w:rPr>
          <w:rFonts w:ascii="Arial" w:hAnsi="Arial" w:eastAsia="Times New Roman" w:cs="Arial"/>
          <w:b/>
          <w:bCs/>
          <w:sz w:val="27"/>
          <w:szCs w:val="27"/>
          <w:lang w:val="en" w:eastAsia="en-GB"/>
        </w:rPr>
      </w:pPr>
      <w:r>
        <w:rPr>
          <w:rFonts w:ascii="Arial" w:hAnsi="Arial" w:eastAsia="Times New Roman" w:cs="Arial"/>
          <w:b/>
          <w:bCs/>
          <w:sz w:val="27"/>
          <w:szCs w:val="27"/>
          <w:lang w:val="en" w:eastAsia="en-GB"/>
        </w:rPr>
        <w:t>Acting as an umbrella body</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r>
        <w:fldChar w:fldCharType="begin"/>
      </w:r>
      <w:r>
        <w:instrText xml:space="preserve"> HYPERLINK "https://www.gov.uk/government/publications/dbs-code-of-practice" </w:instrText>
      </w:r>
      <w:r>
        <w:fldChar w:fldCharType="separate"/>
      </w:r>
      <w:r>
        <w:rPr>
          <w:rFonts w:ascii="Arial" w:hAnsi="Arial" w:eastAsia="Times New Roman" w:cs="Arial"/>
          <w:color w:val="0000FF"/>
          <w:sz w:val="24"/>
          <w:szCs w:val="24"/>
          <w:u w:val="single"/>
          <w:lang w:val="en" w:eastAsia="en-GB"/>
        </w:rPr>
        <w:t>code of practice</w:t>
      </w:r>
      <w:r>
        <w:rPr>
          <w:rFonts w:ascii="Arial" w:hAnsi="Arial" w:eastAsia="Times New Roman" w:cs="Arial"/>
          <w:color w:val="0000FF"/>
          <w:sz w:val="24"/>
          <w:szCs w:val="24"/>
          <w:u w:val="single"/>
          <w:lang w:val="en" w:eastAsia="en-GB"/>
        </w:rPr>
        <w:fldChar w:fldCharType="end"/>
      </w:r>
      <w:r>
        <w:rPr>
          <w:rFonts w:ascii="Arial" w:hAnsi="Arial" w:eastAsia="Times New Roman" w:cs="Arial"/>
          <w:sz w:val="24"/>
          <w:szCs w:val="24"/>
          <w:lang w:val="en" w:eastAsia="en-GB"/>
        </w:rPr>
        <w:t xml:space="preserve"> and in full accordance with this policy.</w:t>
      </w:r>
    </w:p>
    <w:p>
      <w:pPr>
        <w:spacing w:before="100" w:beforeAutospacing="1" w:after="100" w:afterAutospacing="1" w:line="240" w:lineRule="auto"/>
        <w:rPr>
          <w:rFonts w:ascii="Arial" w:hAnsi="Arial" w:eastAsia="Times New Roman" w:cs="Arial"/>
          <w:sz w:val="24"/>
          <w:szCs w:val="24"/>
          <w:lang w:val="en" w:eastAsia="en-GB"/>
        </w:rPr>
      </w:pPr>
      <w:r>
        <w:rPr>
          <w:rFonts w:ascii="Arial" w:hAnsi="Arial" w:eastAsia="Times New Roman"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pPr>
        <w:rPr>
          <w:rFonts w:ascii="Arial" w:hAnsi="Arial" w:cs="Arial"/>
        </w:rPr>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Final Version_V1.0_9.5.17_SEdwards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1C5C56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13"/>
        <w:tab w:val="right" w:pos="9026"/>
      </w:tabs>
      <w:spacing w:after="0" w:line="240" w:lineRule="auto"/>
    </w:pPr>
  </w:style>
  <w:style w:type="paragraph" w:styleId="5">
    <w:name w:val="header"/>
    <w:basedOn w:val="1"/>
    <w:link w:val="6"/>
    <w:unhideWhenUsed/>
    <w:qFormat/>
    <w:uiPriority w:val="99"/>
    <w:pPr>
      <w:tabs>
        <w:tab w:val="center" w:pos="4513"/>
        <w:tab w:val="right" w:pos="9026"/>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BT Lancashire Services Limited</Company>
  <Pages>2</Pages>
  <Words>623</Words>
  <Characters>3552</Characters>
  <Lines>29</Lines>
  <Paragraphs>8</Paragraphs>
  <TotalTime>0</TotalTime>
  <ScaleCrop>false</ScaleCrop>
  <LinksUpToDate>false</LinksUpToDate>
  <CharactersWithSpaces>4167</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2017-12-19T16:48:00Z</dcterms:created>
  <dc:creator>Edwards, Sioned</dc:creator>
  <cp:lastModifiedBy>pmaloney</cp:lastModifiedBy>
  <dcterms:modified xsi:type="dcterms:W3CDTF">2025-09-22T06:25:21Z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2057-11.2.0.11306</vt:lpwstr>
  </property>
  <property fmtid="{D5CDD505-2E9C-101B-9397-08002B2CF9AE}" pid="3" name="ICV">
    <vt:lpwstr>6AC53564BF9048DEB4D7BF40AA82BEA7</vt:lpwstr>
  </property>
</Properties>
</file>